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F7" w:rsidRDefault="00D07F25" w:rsidP="00CC56F7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</w:p>
    <w:p w:rsidR="006F7B8F" w:rsidRDefault="00CC56F7" w:rsidP="00CC56F7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>
        <w:rPr>
          <w:b/>
          <w:bCs/>
          <w:spacing w:val="-1"/>
          <w:sz w:val="28"/>
          <w:szCs w:val="28"/>
        </w:rPr>
        <w:t>Мамаканского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городского поселения</w:t>
      </w:r>
    </w:p>
    <w:p w:rsidR="00CC56F7" w:rsidRDefault="00CC56F7" w:rsidP="00CC56F7">
      <w:pPr>
        <w:ind w:firstLine="567"/>
        <w:jc w:val="center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  <w:r w:rsidR="006F7B8F" w:rsidRPr="00356551">
        <w:rPr>
          <w:b/>
          <w:bCs/>
          <w:spacing w:val="-1"/>
          <w:sz w:val="28"/>
          <w:szCs w:val="28"/>
        </w:rPr>
        <w:t xml:space="preserve">«О бюджете  </w:t>
      </w:r>
      <w:proofErr w:type="spellStart"/>
      <w:r w:rsidR="006F7B8F" w:rsidRPr="00356551">
        <w:rPr>
          <w:b/>
          <w:bCs/>
          <w:spacing w:val="-1"/>
          <w:sz w:val="28"/>
          <w:szCs w:val="28"/>
        </w:rPr>
        <w:t>Мамаканского</w:t>
      </w:r>
      <w:proofErr w:type="spellEnd"/>
      <w:r w:rsidR="006F7B8F" w:rsidRPr="00356551">
        <w:rPr>
          <w:b/>
          <w:bCs/>
          <w:spacing w:val="-1"/>
          <w:sz w:val="28"/>
          <w:szCs w:val="28"/>
        </w:rPr>
        <w:t xml:space="preserve"> муниципального образования  на 201</w:t>
      </w:r>
      <w:r w:rsidR="003A513B">
        <w:rPr>
          <w:b/>
          <w:bCs/>
          <w:spacing w:val="-1"/>
          <w:sz w:val="28"/>
          <w:szCs w:val="28"/>
        </w:rPr>
        <w:t>8</w:t>
      </w:r>
      <w:r w:rsidR="006F7B8F" w:rsidRPr="00356551">
        <w:rPr>
          <w:b/>
          <w:bCs/>
          <w:spacing w:val="-1"/>
          <w:sz w:val="28"/>
          <w:szCs w:val="28"/>
        </w:rPr>
        <w:t xml:space="preserve"> год и плановый период 201</w:t>
      </w:r>
      <w:r w:rsidR="003A513B">
        <w:rPr>
          <w:b/>
          <w:bCs/>
          <w:spacing w:val="-1"/>
          <w:sz w:val="28"/>
          <w:szCs w:val="28"/>
        </w:rPr>
        <w:t>9</w:t>
      </w:r>
      <w:r w:rsidR="006F7B8F">
        <w:rPr>
          <w:b/>
          <w:bCs/>
          <w:spacing w:val="-1"/>
          <w:sz w:val="28"/>
          <w:szCs w:val="28"/>
        </w:rPr>
        <w:t xml:space="preserve"> и </w:t>
      </w:r>
      <w:r w:rsidR="006F7B8F" w:rsidRPr="00356551">
        <w:rPr>
          <w:b/>
          <w:bCs/>
          <w:spacing w:val="-1"/>
          <w:sz w:val="28"/>
          <w:szCs w:val="28"/>
        </w:rPr>
        <w:t>20</w:t>
      </w:r>
      <w:r w:rsidR="003A513B">
        <w:rPr>
          <w:b/>
          <w:bCs/>
          <w:spacing w:val="-1"/>
          <w:sz w:val="28"/>
          <w:szCs w:val="28"/>
        </w:rPr>
        <w:t>20</w:t>
      </w:r>
      <w:r w:rsidR="006F7B8F" w:rsidRPr="00356551">
        <w:rPr>
          <w:b/>
          <w:bCs/>
          <w:spacing w:val="-1"/>
          <w:sz w:val="28"/>
          <w:szCs w:val="28"/>
        </w:rPr>
        <w:t xml:space="preserve"> годов»</w:t>
      </w:r>
    </w:p>
    <w:p w:rsidR="00D07F25" w:rsidRDefault="009D12F9" w:rsidP="00CC56F7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 xml:space="preserve">проекта решения </w:t>
      </w:r>
      <w:r w:rsidR="00A05D6D" w:rsidRPr="00F05729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proofErr w:type="spellStart"/>
      <w:r w:rsidR="00CC56F7"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</w:t>
      </w:r>
      <w:r w:rsidR="00A05D6D">
        <w:rPr>
          <w:sz w:val="28"/>
          <w:szCs w:val="28"/>
        </w:rPr>
        <w:t xml:space="preserve"> городского </w:t>
      </w:r>
      <w:r w:rsidR="00A05D6D" w:rsidRPr="006F7B8F">
        <w:rPr>
          <w:sz w:val="28"/>
          <w:szCs w:val="28"/>
        </w:rPr>
        <w:t xml:space="preserve">поселения  </w:t>
      </w:r>
      <w:r w:rsidRPr="006F7B8F">
        <w:rPr>
          <w:sz w:val="28"/>
          <w:szCs w:val="28"/>
        </w:rPr>
        <w:t xml:space="preserve"> </w:t>
      </w:r>
      <w:r w:rsidR="006F7B8F" w:rsidRPr="006F7B8F">
        <w:rPr>
          <w:bCs/>
          <w:spacing w:val="-1"/>
          <w:sz w:val="28"/>
          <w:szCs w:val="28"/>
        </w:rPr>
        <w:t xml:space="preserve">«О бюджете  </w:t>
      </w:r>
      <w:proofErr w:type="spellStart"/>
      <w:r w:rsidR="006F7B8F" w:rsidRPr="006F7B8F">
        <w:rPr>
          <w:bCs/>
          <w:spacing w:val="-1"/>
          <w:sz w:val="28"/>
          <w:szCs w:val="28"/>
        </w:rPr>
        <w:t>Мамаканского</w:t>
      </w:r>
      <w:proofErr w:type="spellEnd"/>
      <w:r w:rsidR="006F7B8F" w:rsidRPr="006F7B8F">
        <w:rPr>
          <w:bCs/>
          <w:spacing w:val="-1"/>
          <w:sz w:val="28"/>
          <w:szCs w:val="28"/>
        </w:rPr>
        <w:t xml:space="preserve"> муниципального образования  на 201</w:t>
      </w:r>
      <w:r w:rsidR="003A513B">
        <w:rPr>
          <w:bCs/>
          <w:spacing w:val="-1"/>
          <w:sz w:val="28"/>
          <w:szCs w:val="28"/>
        </w:rPr>
        <w:t>8</w:t>
      </w:r>
      <w:r w:rsidR="006F7B8F" w:rsidRPr="006F7B8F">
        <w:rPr>
          <w:bCs/>
          <w:spacing w:val="-1"/>
          <w:sz w:val="28"/>
          <w:szCs w:val="28"/>
        </w:rPr>
        <w:t xml:space="preserve"> год и плановый период 201</w:t>
      </w:r>
      <w:r w:rsidR="003A513B">
        <w:rPr>
          <w:bCs/>
          <w:spacing w:val="-1"/>
          <w:sz w:val="28"/>
          <w:szCs w:val="28"/>
        </w:rPr>
        <w:t>9</w:t>
      </w:r>
      <w:r w:rsidR="006F7B8F" w:rsidRPr="006F7B8F">
        <w:rPr>
          <w:bCs/>
          <w:spacing w:val="-1"/>
          <w:sz w:val="28"/>
          <w:szCs w:val="28"/>
        </w:rPr>
        <w:t xml:space="preserve"> и 20</w:t>
      </w:r>
      <w:r w:rsidR="003A513B">
        <w:rPr>
          <w:bCs/>
          <w:spacing w:val="-1"/>
          <w:sz w:val="28"/>
          <w:szCs w:val="28"/>
        </w:rPr>
        <w:t>20</w:t>
      </w:r>
      <w:r w:rsidR="006F7B8F" w:rsidRPr="006F7B8F">
        <w:rPr>
          <w:bCs/>
          <w:spacing w:val="-1"/>
          <w:sz w:val="28"/>
          <w:szCs w:val="28"/>
        </w:rPr>
        <w:t xml:space="preserve"> годов» </w:t>
      </w:r>
      <w:r w:rsidR="00362725">
        <w:rPr>
          <w:bCs/>
          <w:spacing w:val="-1"/>
          <w:sz w:val="28"/>
          <w:szCs w:val="28"/>
        </w:rPr>
        <w:t>проводилась на основании Плана работы</w:t>
      </w:r>
      <w:proofErr w:type="gramStart"/>
      <w:r w:rsidR="00362725">
        <w:rPr>
          <w:bCs/>
          <w:spacing w:val="-1"/>
          <w:sz w:val="28"/>
          <w:szCs w:val="28"/>
        </w:rPr>
        <w:t xml:space="preserve"> ,</w:t>
      </w:r>
      <w:proofErr w:type="gramEnd"/>
      <w:r w:rsidR="00362725">
        <w:rPr>
          <w:bCs/>
          <w:spacing w:val="-1"/>
          <w:sz w:val="28"/>
          <w:szCs w:val="28"/>
        </w:rPr>
        <w:t xml:space="preserve">  распоряжения Председателя Ревизионной комиссии г. Бодайбо и района на  проведение контрольного мероприятия .</w:t>
      </w:r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Администрация </w:t>
      </w:r>
      <w:proofErr w:type="spellStart"/>
      <w:r w:rsidR="00CC56F7">
        <w:rPr>
          <w:bCs/>
          <w:spacing w:val="-1"/>
          <w:sz w:val="28"/>
          <w:szCs w:val="28"/>
        </w:rPr>
        <w:t>Мамаканского</w:t>
      </w:r>
      <w:proofErr w:type="spellEnd"/>
      <w:r w:rsidR="00A05D6D">
        <w:rPr>
          <w:bCs/>
          <w:spacing w:val="-1"/>
          <w:sz w:val="28"/>
          <w:szCs w:val="28"/>
        </w:rPr>
        <w:t xml:space="preserve"> городского поселения</w:t>
      </w:r>
      <w:r>
        <w:rPr>
          <w:bCs/>
          <w:spacing w:val="-1"/>
          <w:sz w:val="28"/>
          <w:szCs w:val="28"/>
        </w:rPr>
        <w:t>.</w:t>
      </w:r>
    </w:p>
    <w:p w:rsidR="003A513B" w:rsidRDefault="003A513B" w:rsidP="003A513B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Проверка показала:</w:t>
      </w:r>
    </w:p>
    <w:p w:rsidR="003A513B" w:rsidRDefault="0087389C" w:rsidP="003A513B">
      <w:pPr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3A513B">
        <w:rPr>
          <w:sz w:val="28"/>
          <w:szCs w:val="28"/>
        </w:rPr>
        <w:t xml:space="preserve">            1.Проект бюджета представлен для рассмотрения и утверждения в полном объеме, в соответствии с установленными требованиями  БК РФ и Положением о бюджетном процессе.       </w:t>
      </w:r>
    </w:p>
    <w:p w:rsidR="003A513B" w:rsidRDefault="003A513B" w:rsidP="003A513B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>
        <w:rPr>
          <w:color w:val="auto"/>
          <w:sz w:val="28"/>
          <w:szCs w:val="28"/>
        </w:rPr>
        <w:t xml:space="preserve">Прогнозные показатели основных параметров местного бюджета на 2018 год и на плановый период 2019 и 2020 годов сформированы в соответствии с прогнозом социально-экономического развития </w:t>
      </w:r>
      <w:proofErr w:type="spellStart"/>
      <w:r>
        <w:rPr>
          <w:color w:val="auto"/>
          <w:sz w:val="28"/>
          <w:szCs w:val="28"/>
        </w:rPr>
        <w:t>Мамаканского</w:t>
      </w:r>
      <w:proofErr w:type="spellEnd"/>
      <w:r>
        <w:rPr>
          <w:color w:val="auto"/>
          <w:sz w:val="28"/>
          <w:szCs w:val="28"/>
        </w:rPr>
        <w:t xml:space="preserve"> муниципального образования (далее - Прогноз СЭР). </w:t>
      </w:r>
    </w:p>
    <w:p w:rsidR="003A513B" w:rsidRDefault="003A513B" w:rsidP="003A513B">
      <w:pPr>
        <w:autoSpaceDE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Ограничения, установленные БК РФ в части резервного фонда, соблюдены в полном объеме.</w:t>
      </w:r>
    </w:p>
    <w:p w:rsidR="003A513B" w:rsidRDefault="003A513B" w:rsidP="003A513B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4.В соответствии с проектом бюджета доходы бюджета </w:t>
      </w:r>
      <w:r>
        <w:rPr>
          <w:b/>
          <w:sz w:val="28"/>
          <w:szCs w:val="28"/>
        </w:rPr>
        <w:t>в 2018 году</w:t>
      </w:r>
      <w:r>
        <w:rPr>
          <w:sz w:val="28"/>
          <w:szCs w:val="28"/>
        </w:rPr>
        <w:t xml:space="preserve"> прогнозируются в объеме 31 086,9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 налоговые и неналоговые доходы – 6 508,1 тыс.рублей, или 21,0 % объема доходов бюджета, безвозмездные поступления – 24 578,8 тыс.рублей.</w:t>
      </w:r>
    </w:p>
    <w:p w:rsidR="003A513B" w:rsidRDefault="003A513B" w:rsidP="003A513B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 2019 году</w:t>
      </w:r>
      <w:r>
        <w:rPr>
          <w:sz w:val="28"/>
          <w:szCs w:val="28"/>
        </w:rPr>
        <w:t xml:space="preserve"> доходы бюджета составят 23 046,7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 налоговые и неналоговые доходы – 6 786,4 тыс.рублей, или 29,4 % объема доходов бюджета, безвозмездные поступления –  16 260,3 тыс.рублей.</w:t>
      </w:r>
      <w:r>
        <w:rPr>
          <w:b/>
          <w:sz w:val="28"/>
          <w:szCs w:val="28"/>
        </w:rPr>
        <w:t xml:space="preserve"> </w:t>
      </w:r>
    </w:p>
    <w:p w:rsidR="003A513B" w:rsidRDefault="003A513B" w:rsidP="003A513B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>В 2020 году</w:t>
      </w:r>
      <w:r>
        <w:rPr>
          <w:sz w:val="28"/>
          <w:szCs w:val="28"/>
        </w:rPr>
        <w:t xml:space="preserve"> доходы бюджета составят  22 276,2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 налоговые и неналоговые доходы – 6 968,5 тыс.рублей, безвозмездные поступления 15 307,7 тыс.рублей.    </w:t>
      </w:r>
    </w:p>
    <w:p w:rsidR="003A513B" w:rsidRDefault="003A513B" w:rsidP="003A513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Прогнозируемые в 2018 году безвозмездные поступления составят 24 548,8 тыс. рублей, что на 3 043,8 тыс. рублей или на 14,1 % выше ожидаемого уровня 2017 года, в 2019 году – 16 260,3 тыс. рублей, что на 8 318,5 тыс. рублей (- 33,8 %) ниже прогнозируемого поступления 2018 года, в 2020 году – 15 307,7 тыс. рублей, что на 952,6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(- 5,9 %) ниже прогнозируемого поступления 2019 года.</w:t>
      </w:r>
    </w:p>
    <w:p w:rsidR="003A513B" w:rsidRDefault="003A513B" w:rsidP="003A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Прогнозируемое снижение безвозмездных поступлений на плановый период 2019 и 2020 годов в бюджет поселения обусловлено наличием нераспределенных среди поселений Иркутской области в соответствии с проектом областного бюджета на 2018 – 2020 годы видов субсидий и межбюджетных трансфертов. </w:t>
      </w:r>
    </w:p>
    <w:p w:rsidR="003A513B" w:rsidRDefault="003A513B" w:rsidP="003A513B">
      <w:pPr>
        <w:ind w:firstLine="709"/>
        <w:jc w:val="both"/>
        <w:rPr>
          <w:szCs w:val="28"/>
        </w:rPr>
      </w:pPr>
      <w:r>
        <w:rPr>
          <w:sz w:val="28"/>
          <w:szCs w:val="28"/>
        </w:rPr>
        <w:t>Прогнозируемые в 2018 году поступления дотации на выравнивание уровня бюджетной обеспеченности составляют 15 112,1 тыс. рублей (- 2,4 % к уровню 2017 года), в 2019 и 2020 годах 15 760,2 тыс. рублей и 14 825,1 тыс. рублей, соответственно.</w:t>
      </w:r>
      <w:r>
        <w:rPr>
          <w:szCs w:val="28"/>
        </w:rPr>
        <w:tab/>
      </w:r>
    </w:p>
    <w:p w:rsidR="003A513B" w:rsidRDefault="003A513B" w:rsidP="003A513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5. Общий объем расходов  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 предложен в объеме</w:t>
      </w:r>
    </w:p>
    <w:p w:rsidR="003A513B" w:rsidRDefault="003A513B" w:rsidP="003A513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2018 год –</w:t>
      </w:r>
      <w:r>
        <w:rPr>
          <w:sz w:val="28"/>
          <w:szCs w:val="28"/>
        </w:rPr>
        <w:t xml:space="preserve"> 31 412,3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средства муниципальных программ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 муниципального образования– 14 139,7 тыс.рублей, или  45,0% от общего объема расходов.</w:t>
      </w:r>
    </w:p>
    <w:p w:rsidR="003A513B" w:rsidRDefault="003A513B" w:rsidP="003A513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– 23 386,0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в том числе средства муниципальных программ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 муниципального образования– 5 412,9 тыс.рублей, или  23,1% от общего объема расходов.</w:t>
      </w:r>
    </w:p>
    <w:p w:rsidR="003A513B" w:rsidRDefault="003A513B" w:rsidP="003A513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2020 год</w:t>
      </w:r>
      <w:r>
        <w:rPr>
          <w:sz w:val="28"/>
          <w:szCs w:val="28"/>
        </w:rPr>
        <w:t xml:space="preserve"> – 22 624,7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в том числе средства муниципальных программ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 муниципального образования– 4 234,0 тыс.рублей, или  18,7% от общего объема расходов.       </w:t>
      </w:r>
    </w:p>
    <w:p w:rsidR="003A513B" w:rsidRDefault="003A513B" w:rsidP="003A513B">
      <w:pPr>
        <w:ind w:firstLine="709"/>
        <w:jc w:val="both"/>
        <w:rPr>
          <w:szCs w:val="28"/>
        </w:rPr>
      </w:pPr>
      <w:r>
        <w:rPr>
          <w:sz w:val="28"/>
          <w:szCs w:val="28"/>
        </w:rPr>
        <w:t>Расходы за счет средств  областного бюджета (предусмотрены в соответствии с проектом Закона Иркутской области «Об областном бюджете на 2018 год и плановый период 2019-2020 годов»), бюджета муниципального образования г. Бодайбо и района ( предусмотрены в соответствии с проектом бюджета муниципального образования г. Бодайбо и района на 2018 год и плановый период 2019-2020 годов)  составляют : на  2018 год   – 24 578,8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78,2% от общего объема расходов; на 2019 год – 16 260,3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или 69,5% от общего объема расходов; на 2019 год – 15 307,7 тыс.рублей  или 67,7% от общего объема расходов.</w:t>
      </w:r>
      <w:r>
        <w:rPr>
          <w:szCs w:val="28"/>
        </w:rPr>
        <w:tab/>
      </w:r>
    </w:p>
    <w:p w:rsidR="003A513B" w:rsidRPr="003A513B" w:rsidRDefault="003A513B" w:rsidP="003A513B">
      <w:pPr>
        <w:ind w:firstLine="709"/>
        <w:jc w:val="both"/>
        <w:rPr>
          <w:i/>
          <w:sz w:val="28"/>
          <w:szCs w:val="28"/>
        </w:rPr>
      </w:pPr>
      <w:r w:rsidRPr="003A513B">
        <w:rPr>
          <w:i/>
          <w:sz w:val="28"/>
          <w:szCs w:val="28"/>
        </w:rPr>
        <w:t>При планирование  расходов в 2018 году на обеспечение выполнения функций высшего должностного лица, расчет норматива формирования расходов на оплату труда главы ( дале</w:t>
      </w:r>
      <w:proofErr w:type="gramStart"/>
      <w:r w:rsidRPr="003A513B">
        <w:rPr>
          <w:i/>
          <w:sz w:val="28"/>
          <w:szCs w:val="28"/>
        </w:rPr>
        <w:t>е-</w:t>
      </w:r>
      <w:proofErr w:type="gramEnd"/>
      <w:r w:rsidRPr="003A513B">
        <w:rPr>
          <w:i/>
          <w:sz w:val="28"/>
          <w:szCs w:val="28"/>
        </w:rPr>
        <w:t xml:space="preserve"> норматив ) рассчитан с учетом применения повышения на 4% должностного оклада муниципального служащего, замещающего низшую должность. Норматив на 2018 год увеличился на 3,6%  или 37,0 тыс</w:t>
      </w:r>
      <w:proofErr w:type="gramStart"/>
      <w:r w:rsidRPr="003A513B">
        <w:rPr>
          <w:i/>
          <w:sz w:val="28"/>
          <w:szCs w:val="28"/>
        </w:rPr>
        <w:t>.р</w:t>
      </w:r>
      <w:proofErr w:type="gramEnd"/>
      <w:r w:rsidRPr="003A513B">
        <w:rPr>
          <w:i/>
          <w:sz w:val="28"/>
          <w:szCs w:val="28"/>
        </w:rPr>
        <w:t>ублей ( 1 066,8 тыс.рублей) в сравнение с показателями 2017 года  ( 1 029,8 тыс.рублей) .</w:t>
      </w:r>
    </w:p>
    <w:p w:rsidR="003A513B" w:rsidRPr="003A513B" w:rsidRDefault="003A513B" w:rsidP="003A513B">
      <w:pPr>
        <w:ind w:firstLine="709"/>
        <w:jc w:val="both"/>
        <w:rPr>
          <w:i/>
          <w:sz w:val="28"/>
          <w:szCs w:val="28"/>
        </w:rPr>
      </w:pPr>
      <w:r w:rsidRPr="003A513B">
        <w:rPr>
          <w:i/>
          <w:sz w:val="28"/>
          <w:szCs w:val="28"/>
        </w:rPr>
        <w:t>Следует отметить, что установленный норматив  на 2018 на момент проверки не подтвержден Министерством труда и занятости Иркутской области.</w:t>
      </w:r>
    </w:p>
    <w:p w:rsidR="003A513B" w:rsidRPr="003A513B" w:rsidRDefault="003A513B" w:rsidP="003A513B">
      <w:pPr>
        <w:ind w:firstLine="709"/>
        <w:jc w:val="both"/>
        <w:rPr>
          <w:sz w:val="28"/>
          <w:szCs w:val="28"/>
        </w:rPr>
      </w:pPr>
      <w:r w:rsidRPr="003A513B">
        <w:rPr>
          <w:i/>
          <w:sz w:val="28"/>
          <w:szCs w:val="28"/>
        </w:rPr>
        <w:t xml:space="preserve">Расчет норматива формирования расходов  на оплату труда председателя Думы </w:t>
      </w:r>
      <w:proofErr w:type="spellStart"/>
      <w:r w:rsidRPr="003A513B">
        <w:rPr>
          <w:i/>
          <w:sz w:val="28"/>
          <w:szCs w:val="28"/>
        </w:rPr>
        <w:t>Мамаканского</w:t>
      </w:r>
      <w:proofErr w:type="spellEnd"/>
      <w:r w:rsidRPr="003A513B">
        <w:rPr>
          <w:i/>
          <w:sz w:val="28"/>
          <w:szCs w:val="28"/>
        </w:rPr>
        <w:t xml:space="preserve"> городского поселения  рассчитан исходя из норматива формирования расходов на оплату труда главы поселения на 2018 год  без учета надбавок за государственную тайну и составит 899,0 тыс</w:t>
      </w:r>
      <w:proofErr w:type="gramStart"/>
      <w:r w:rsidRPr="003A513B">
        <w:rPr>
          <w:i/>
          <w:sz w:val="28"/>
          <w:szCs w:val="28"/>
        </w:rPr>
        <w:t>.р</w:t>
      </w:r>
      <w:proofErr w:type="gramEnd"/>
      <w:r w:rsidRPr="003A513B">
        <w:rPr>
          <w:i/>
          <w:sz w:val="28"/>
          <w:szCs w:val="28"/>
        </w:rPr>
        <w:t>ублей, что на 30,9 тыс.рублей или на 3,6 %  больше показателей 2017 года  ( 868,1 тыс.рублей).</w:t>
      </w:r>
    </w:p>
    <w:p w:rsidR="003A513B" w:rsidRDefault="003A513B" w:rsidP="003A513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Проектом бюджета на 2018 год и плановый период 2018-2019 годов   предусмотрены бюджетные ассигнования  на реализацию  8 муниципальных программ. </w:t>
      </w:r>
    </w:p>
    <w:p w:rsidR="003A513B" w:rsidRDefault="003A513B" w:rsidP="003A513B">
      <w:pPr>
        <w:tabs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анализе представленных к проверке муниципальных программ установлено:</w:t>
      </w:r>
    </w:p>
    <w:p w:rsidR="003A513B" w:rsidRPr="003A513B" w:rsidRDefault="003A513B" w:rsidP="003A513B">
      <w:pPr>
        <w:tabs>
          <w:tab w:val="left" w:pos="5180"/>
        </w:tabs>
        <w:jc w:val="both"/>
        <w:rPr>
          <w:i/>
          <w:sz w:val="28"/>
          <w:szCs w:val="28"/>
        </w:rPr>
      </w:pPr>
      <w:r w:rsidRPr="003A513B">
        <w:rPr>
          <w:sz w:val="28"/>
          <w:szCs w:val="28"/>
        </w:rPr>
        <w:t xml:space="preserve">-  </w:t>
      </w:r>
      <w:r w:rsidRPr="003A513B">
        <w:rPr>
          <w:i/>
          <w:sz w:val="28"/>
          <w:szCs w:val="28"/>
        </w:rPr>
        <w:t>Бюджетные ассигнования, предусмотренные уточненной бюджетной росписью, и ассигнования, предусмотренные проектом бюджета  на 2018 год, не соответствуют ресурсному обеспечению указанного в паспортах муниципальных программ;</w:t>
      </w:r>
    </w:p>
    <w:p w:rsidR="003A513B" w:rsidRPr="003A513B" w:rsidRDefault="003A513B" w:rsidP="003A513B">
      <w:pPr>
        <w:tabs>
          <w:tab w:val="left" w:pos="5180"/>
        </w:tabs>
        <w:jc w:val="both"/>
        <w:rPr>
          <w:i/>
          <w:sz w:val="28"/>
          <w:szCs w:val="28"/>
        </w:rPr>
      </w:pPr>
      <w:r w:rsidRPr="003A513B">
        <w:rPr>
          <w:i/>
          <w:sz w:val="28"/>
          <w:szCs w:val="28"/>
        </w:rPr>
        <w:t>-  в паспортах муниципальных программ отсутствуют плановые показатели (на 2019-2020 годы);</w:t>
      </w:r>
    </w:p>
    <w:p w:rsidR="003A513B" w:rsidRPr="003A513B" w:rsidRDefault="003A513B" w:rsidP="003A513B">
      <w:pPr>
        <w:tabs>
          <w:tab w:val="left" w:pos="5180"/>
        </w:tabs>
        <w:jc w:val="both"/>
        <w:rPr>
          <w:sz w:val="28"/>
          <w:szCs w:val="28"/>
        </w:rPr>
      </w:pPr>
      <w:r w:rsidRPr="003A513B">
        <w:rPr>
          <w:i/>
          <w:sz w:val="28"/>
          <w:szCs w:val="28"/>
        </w:rPr>
        <w:lastRenderedPageBreak/>
        <w:t>- имеют место неточности в наименованиях муниципальных программ  в части указания периода действия программ.</w:t>
      </w:r>
      <w:r w:rsidRPr="003A513B">
        <w:rPr>
          <w:sz w:val="28"/>
          <w:szCs w:val="28"/>
        </w:rPr>
        <w:t xml:space="preserve">       </w:t>
      </w:r>
    </w:p>
    <w:p w:rsidR="003A513B" w:rsidRDefault="003A513B" w:rsidP="003A51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7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Предельный объем муниципального внутреннего долга  муниципального образования 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поселение планируется установить в 2018 году в сумме 6 508,1 тыс. рублей, в 2019 году в сумме 6 786,4 тыс. рублей, в 2020 году в сумме 6 968,5 тыс. рублей.</w:t>
      </w:r>
    </w:p>
    <w:p w:rsidR="003A513B" w:rsidRDefault="003A513B" w:rsidP="003A5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Дефицит бюджета составит в 2018 году 325,4 тыс. рублей (5%) без учета объема безвозмездных поступлений,  в 2019 году составит 339,3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(5,0 %) без учета объема безвозмездных поступлений, в 2020 году 348,5 тыс.рублей (5,0 %) без учета объема безвозмездных поступлений.</w:t>
      </w:r>
    </w:p>
    <w:p w:rsidR="006F7B8F" w:rsidRDefault="006F7B8F" w:rsidP="003A513B">
      <w:pPr>
        <w:jc w:val="both"/>
        <w:rPr>
          <w:sz w:val="28"/>
          <w:szCs w:val="28"/>
        </w:rPr>
      </w:pPr>
    </w:p>
    <w:p w:rsidR="00B41995" w:rsidRDefault="00B41995" w:rsidP="00CC56F7">
      <w:pPr>
        <w:ind w:firstLine="540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F1F5E"/>
    <w:rsid w:val="002E2DA2"/>
    <w:rsid w:val="00340DB1"/>
    <w:rsid w:val="00362725"/>
    <w:rsid w:val="003A513B"/>
    <w:rsid w:val="003E0E4A"/>
    <w:rsid w:val="003E2771"/>
    <w:rsid w:val="004A615E"/>
    <w:rsid w:val="004B0287"/>
    <w:rsid w:val="004D6A56"/>
    <w:rsid w:val="005B7B32"/>
    <w:rsid w:val="006F7B8F"/>
    <w:rsid w:val="0073398A"/>
    <w:rsid w:val="007513A1"/>
    <w:rsid w:val="00781A75"/>
    <w:rsid w:val="007A4165"/>
    <w:rsid w:val="0087389C"/>
    <w:rsid w:val="008910E0"/>
    <w:rsid w:val="00895A9B"/>
    <w:rsid w:val="008D3637"/>
    <w:rsid w:val="008F0232"/>
    <w:rsid w:val="009D12F9"/>
    <w:rsid w:val="00A05D6D"/>
    <w:rsid w:val="00AC401E"/>
    <w:rsid w:val="00B15636"/>
    <w:rsid w:val="00B41995"/>
    <w:rsid w:val="00CC56F7"/>
    <w:rsid w:val="00D07F25"/>
    <w:rsid w:val="00E50F0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  <w:style w:type="paragraph" w:styleId="a4">
    <w:name w:val="Title"/>
    <w:basedOn w:val="a"/>
    <w:link w:val="a5"/>
    <w:qFormat/>
    <w:rsid w:val="00CC56F7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CC5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CC56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C56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8DBA-7FC7-4025-ABAD-E78692EA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15</cp:revision>
  <dcterms:created xsi:type="dcterms:W3CDTF">2014-06-18T06:08:00Z</dcterms:created>
  <dcterms:modified xsi:type="dcterms:W3CDTF">2017-12-27T02:00:00Z</dcterms:modified>
</cp:coreProperties>
</file>