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129" w:rsidRDefault="00AC094D" w:rsidP="004B1129">
      <w:pPr>
        <w:shd w:val="clear" w:color="auto" w:fill="FFFFFF"/>
        <w:ind w:firstLine="709"/>
        <w:jc w:val="center"/>
        <w:rPr>
          <w:bCs/>
          <w:spacing w:val="-1"/>
          <w:sz w:val="26"/>
          <w:szCs w:val="26"/>
        </w:rPr>
      </w:pPr>
      <w:r w:rsidRPr="00487B5D">
        <w:rPr>
          <w:b/>
          <w:sz w:val="26"/>
          <w:szCs w:val="26"/>
        </w:rPr>
        <w:t>Инф</w:t>
      </w:r>
      <w:r w:rsidR="007D1549">
        <w:rPr>
          <w:b/>
          <w:sz w:val="26"/>
          <w:szCs w:val="26"/>
        </w:rPr>
        <w:t xml:space="preserve">ормация о </w:t>
      </w:r>
      <w:proofErr w:type="gramStart"/>
      <w:r w:rsidR="007D1549">
        <w:rPr>
          <w:b/>
          <w:sz w:val="26"/>
          <w:szCs w:val="26"/>
        </w:rPr>
        <w:t>результатах  проведе</w:t>
      </w:r>
      <w:r w:rsidR="002112C1" w:rsidRPr="00487B5D">
        <w:rPr>
          <w:b/>
          <w:sz w:val="26"/>
          <w:szCs w:val="26"/>
        </w:rPr>
        <w:t>нного</w:t>
      </w:r>
      <w:proofErr w:type="gramEnd"/>
      <w:r w:rsidR="002112C1" w:rsidRPr="00487B5D">
        <w:rPr>
          <w:b/>
          <w:sz w:val="26"/>
          <w:szCs w:val="26"/>
        </w:rPr>
        <w:t xml:space="preserve"> </w:t>
      </w:r>
      <w:r w:rsidR="004B1129">
        <w:rPr>
          <w:b/>
          <w:sz w:val="26"/>
          <w:szCs w:val="26"/>
        </w:rPr>
        <w:t>экспертно-аналитического мероприятия</w:t>
      </w:r>
      <w:r w:rsidR="004A799D">
        <w:rPr>
          <w:b/>
          <w:sz w:val="26"/>
          <w:szCs w:val="26"/>
        </w:rPr>
        <w:t xml:space="preserve"> </w:t>
      </w:r>
      <w:r w:rsidR="00A1417D" w:rsidRPr="00A1417D">
        <w:rPr>
          <w:b/>
          <w:bCs/>
          <w:sz w:val="26"/>
          <w:szCs w:val="26"/>
        </w:rPr>
        <w:t xml:space="preserve">  </w:t>
      </w:r>
    </w:p>
    <w:p w:rsidR="004B1129" w:rsidRPr="004B1129" w:rsidRDefault="004B1129" w:rsidP="004B1129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r w:rsidRPr="004B1129">
        <w:rPr>
          <w:b/>
          <w:sz w:val="28"/>
          <w:szCs w:val="28"/>
        </w:rPr>
        <w:t>«Анализ распределения между муниципальными образованиями Иркутской области дотаций на выравнивание бюджетной обеспеченности поселений из бюджета муниципального района»</w:t>
      </w:r>
    </w:p>
    <w:p w:rsidR="004B1129" w:rsidRDefault="004B1129" w:rsidP="00052FCE">
      <w:pPr>
        <w:shd w:val="clear" w:color="auto" w:fill="FFFFFF"/>
        <w:tabs>
          <w:tab w:val="left" w:pos="720"/>
          <w:tab w:val="left" w:pos="1418"/>
          <w:tab w:val="left" w:pos="2835"/>
          <w:tab w:val="left" w:leader="underscore" w:pos="10138"/>
        </w:tabs>
        <w:jc w:val="both"/>
        <w:rPr>
          <w:bCs/>
          <w:spacing w:val="-1"/>
          <w:sz w:val="26"/>
          <w:szCs w:val="26"/>
        </w:rPr>
      </w:pPr>
    </w:p>
    <w:p w:rsidR="004B1129" w:rsidRDefault="004B1129" w:rsidP="00052FCE">
      <w:pPr>
        <w:shd w:val="clear" w:color="auto" w:fill="FFFFFF"/>
        <w:tabs>
          <w:tab w:val="left" w:pos="720"/>
          <w:tab w:val="left" w:pos="1418"/>
          <w:tab w:val="left" w:pos="2835"/>
          <w:tab w:val="left" w:leader="underscore" w:pos="10138"/>
        </w:tabs>
        <w:jc w:val="both"/>
        <w:rPr>
          <w:bCs/>
          <w:spacing w:val="-1"/>
          <w:sz w:val="26"/>
          <w:szCs w:val="26"/>
        </w:rPr>
      </w:pPr>
    </w:p>
    <w:p w:rsidR="004B1129" w:rsidRPr="00382369" w:rsidRDefault="004F6FE8" w:rsidP="004B1129">
      <w:pPr>
        <w:shd w:val="clear" w:color="auto" w:fill="FFFFFF"/>
        <w:tabs>
          <w:tab w:val="left" w:pos="851"/>
          <w:tab w:val="left" w:leader="underscore" w:pos="10138"/>
        </w:tabs>
        <w:jc w:val="both"/>
        <w:rPr>
          <w:sz w:val="24"/>
          <w:szCs w:val="24"/>
        </w:rPr>
      </w:pPr>
      <w:r w:rsidRPr="00487B5D">
        <w:rPr>
          <w:bCs/>
          <w:spacing w:val="-1"/>
          <w:sz w:val="26"/>
          <w:szCs w:val="26"/>
        </w:rPr>
        <w:t xml:space="preserve">  </w:t>
      </w:r>
      <w:r w:rsidR="00E836E5" w:rsidRPr="00487B5D">
        <w:rPr>
          <w:bCs/>
          <w:spacing w:val="-1"/>
          <w:sz w:val="26"/>
          <w:szCs w:val="26"/>
        </w:rPr>
        <w:t xml:space="preserve">             </w:t>
      </w:r>
      <w:r w:rsidR="004B1129">
        <w:rPr>
          <w:bCs/>
          <w:spacing w:val="-1"/>
          <w:sz w:val="26"/>
          <w:szCs w:val="26"/>
        </w:rPr>
        <w:t xml:space="preserve">Экспертно-аналитическое </w:t>
      </w:r>
      <w:r w:rsidR="004A799D">
        <w:rPr>
          <w:bCs/>
          <w:spacing w:val="-1"/>
          <w:sz w:val="26"/>
          <w:szCs w:val="26"/>
        </w:rPr>
        <w:t>мероприятие</w:t>
      </w:r>
      <w:r w:rsidR="002112C1" w:rsidRPr="00487B5D">
        <w:rPr>
          <w:bCs/>
          <w:spacing w:val="-1"/>
          <w:sz w:val="26"/>
          <w:szCs w:val="26"/>
        </w:rPr>
        <w:t xml:space="preserve"> </w:t>
      </w:r>
      <w:r w:rsidR="004A799D">
        <w:rPr>
          <w:bCs/>
          <w:spacing w:val="-1"/>
          <w:sz w:val="26"/>
          <w:szCs w:val="26"/>
        </w:rPr>
        <w:t xml:space="preserve">проводилось </w:t>
      </w:r>
      <w:r w:rsidR="004B1129">
        <w:rPr>
          <w:bCs/>
          <w:spacing w:val="-1"/>
          <w:sz w:val="26"/>
          <w:szCs w:val="26"/>
        </w:rPr>
        <w:t>на основании</w:t>
      </w:r>
      <w:r w:rsidR="004B1129" w:rsidRPr="00551235">
        <w:rPr>
          <w:spacing w:val="-2"/>
          <w:sz w:val="28"/>
          <w:szCs w:val="28"/>
        </w:rPr>
        <w:t xml:space="preserve"> </w:t>
      </w:r>
      <w:r w:rsidR="004B1129" w:rsidRPr="002572D5">
        <w:rPr>
          <w:spacing w:val="-2"/>
          <w:sz w:val="28"/>
          <w:szCs w:val="28"/>
        </w:rPr>
        <w:t>Федеральн</w:t>
      </w:r>
      <w:r w:rsidR="004B1129">
        <w:rPr>
          <w:spacing w:val="-2"/>
          <w:sz w:val="28"/>
          <w:szCs w:val="28"/>
        </w:rPr>
        <w:t>ого</w:t>
      </w:r>
      <w:r w:rsidR="004B1129" w:rsidRPr="002572D5">
        <w:rPr>
          <w:spacing w:val="-2"/>
          <w:sz w:val="28"/>
          <w:szCs w:val="28"/>
        </w:rPr>
        <w:t xml:space="preserve"> закон</w:t>
      </w:r>
      <w:r w:rsidR="004B1129">
        <w:rPr>
          <w:spacing w:val="-2"/>
          <w:sz w:val="28"/>
          <w:szCs w:val="28"/>
        </w:rPr>
        <w:t>а</w:t>
      </w:r>
      <w:r w:rsidR="004B1129" w:rsidRPr="002572D5">
        <w:rPr>
          <w:spacing w:val="-2"/>
          <w:sz w:val="28"/>
          <w:szCs w:val="28"/>
        </w:rPr>
        <w:t xml:space="preserve"> от 07.02.2011 № 6-ФЗ «Об общих принципах организации и деятельности </w:t>
      </w:r>
      <w:proofErr w:type="spellStart"/>
      <w:r w:rsidR="004B1129" w:rsidRPr="002572D5">
        <w:rPr>
          <w:spacing w:val="-2"/>
          <w:sz w:val="28"/>
          <w:szCs w:val="28"/>
        </w:rPr>
        <w:t>контрольно</w:t>
      </w:r>
      <w:proofErr w:type="spellEnd"/>
      <w:r w:rsidR="004B1129" w:rsidRPr="002572D5">
        <w:rPr>
          <w:spacing w:val="-2"/>
          <w:sz w:val="28"/>
          <w:szCs w:val="28"/>
        </w:rPr>
        <w:t xml:space="preserve"> – счетных органов субъектов Российской Федерации и муниципальных образований», Положени</w:t>
      </w:r>
      <w:r w:rsidR="004B1129">
        <w:rPr>
          <w:spacing w:val="-2"/>
          <w:sz w:val="28"/>
          <w:szCs w:val="28"/>
        </w:rPr>
        <w:t>я</w:t>
      </w:r>
      <w:r w:rsidR="004B1129" w:rsidRPr="002572D5">
        <w:rPr>
          <w:spacing w:val="-2"/>
          <w:sz w:val="28"/>
          <w:szCs w:val="28"/>
        </w:rPr>
        <w:t xml:space="preserve"> </w:t>
      </w:r>
      <w:r w:rsidR="004B1129" w:rsidRPr="00CB1234">
        <w:rPr>
          <w:sz w:val="28"/>
          <w:szCs w:val="28"/>
        </w:rPr>
        <w:t xml:space="preserve">о </w:t>
      </w:r>
      <w:r w:rsidR="004B1129">
        <w:rPr>
          <w:sz w:val="28"/>
          <w:szCs w:val="28"/>
        </w:rPr>
        <w:t>Ревизионной комиссии г. Бодайбо и района (</w:t>
      </w:r>
      <w:r w:rsidR="004B1129" w:rsidRPr="00CB1234">
        <w:rPr>
          <w:sz w:val="28"/>
          <w:szCs w:val="28"/>
        </w:rPr>
        <w:t xml:space="preserve">утвержденным решением Думы </w:t>
      </w:r>
      <w:r w:rsidR="004B1129">
        <w:rPr>
          <w:sz w:val="28"/>
          <w:szCs w:val="28"/>
        </w:rPr>
        <w:t xml:space="preserve">г. Бодайбо и района </w:t>
      </w:r>
      <w:r w:rsidR="004B1129" w:rsidRPr="00CB1234">
        <w:rPr>
          <w:sz w:val="28"/>
          <w:szCs w:val="28"/>
        </w:rPr>
        <w:t xml:space="preserve">от </w:t>
      </w:r>
      <w:r w:rsidR="004B1129">
        <w:rPr>
          <w:sz w:val="28"/>
          <w:szCs w:val="28"/>
        </w:rPr>
        <w:t>19.12.2012</w:t>
      </w:r>
      <w:r w:rsidR="004B1129" w:rsidRPr="00CB1234">
        <w:rPr>
          <w:sz w:val="28"/>
          <w:szCs w:val="28"/>
        </w:rPr>
        <w:t xml:space="preserve"> № </w:t>
      </w:r>
      <w:r w:rsidR="004B1129">
        <w:rPr>
          <w:sz w:val="28"/>
          <w:szCs w:val="28"/>
        </w:rPr>
        <w:t>30-па с изменениями и дополнениями)</w:t>
      </w:r>
      <w:r w:rsidR="004B1129" w:rsidRPr="002572D5">
        <w:rPr>
          <w:spacing w:val="-2"/>
          <w:sz w:val="28"/>
          <w:szCs w:val="28"/>
        </w:rPr>
        <w:t xml:space="preserve">, </w:t>
      </w:r>
      <w:r w:rsidR="004B1129" w:rsidRPr="004A70D5">
        <w:rPr>
          <w:spacing w:val="-1"/>
          <w:sz w:val="28"/>
          <w:szCs w:val="28"/>
        </w:rPr>
        <w:t>План</w:t>
      </w:r>
      <w:r w:rsidR="004B1129">
        <w:rPr>
          <w:spacing w:val="-1"/>
          <w:sz w:val="28"/>
          <w:szCs w:val="28"/>
        </w:rPr>
        <w:t>а</w:t>
      </w:r>
      <w:r w:rsidR="004B1129">
        <w:rPr>
          <w:spacing w:val="-1"/>
          <w:sz w:val="28"/>
          <w:szCs w:val="28"/>
        </w:rPr>
        <w:t xml:space="preserve"> работы </w:t>
      </w:r>
      <w:r w:rsidR="004B1129" w:rsidRPr="004A70D5">
        <w:rPr>
          <w:spacing w:val="-1"/>
          <w:sz w:val="28"/>
          <w:szCs w:val="28"/>
        </w:rPr>
        <w:t xml:space="preserve">  Ревизионной комиссии муниципального образования г. Бодайбо и района</w:t>
      </w:r>
      <w:r w:rsidR="004B1129">
        <w:rPr>
          <w:spacing w:val="-1"/>
          <w:sz w:val="28"/>
          <w:szCs w:val="28"/>
        </w:rPr>
        <w:t xml:space="preserve"> на 2021 год</w:t>
      </w:r>
      <w:r w:rsidR="004B1129">
        <w:rPr>
          <w:sz w:val="28"/>
          <w:szCs w:val="28"/>
        </w:rPr>
        <w:t xml:space="preserve">, </w:t>
      </w:r>
      <w:r w:rsidR="004B1129" w:rsidRPr="00074A84">
        <w:rPr>
          <w:spacing w:val="-2"/>
          <w:sz w:val="28"/>
          <w:szCs w:val="28"/>
        </w:rPr>
        <w:t>распоряжени</w:t>
      </w:r>
      <w:r w:rsidR="004B1129">
        <w:rPr>
          <w:spacing w:val="-2"/>
          <w:sz w:val="28"/>
          <w:szCs w:val="28"/>
        </w:rPr>
        <w:t>я</w:t>
      </w:r>
      <w:r w:rsidR="004B1129">
        <w:rPr>
          <w:spacing w:val="-2"/>
          <w:sz w:val="28"/>
          <w:szCs w:val="28"/>
        </w:rPr>
        <w:t xml:space="preserve"> </w:t>
      </w:r>
      <w:r w:rsidR="004B1129" w:rsidRPr="00074A84">
        <w:rPr>
          <w:spacing w:val="-2"/>
          <w:sz w:val="28"/>
          <w:szCs w:val="28"/>
        </w:rPr>
        <w:t>Ревизионной комиссии г.</w:t>
      </w:r>
      <w:r w:rsidR="004B1129">
        <w:rPr>
          <w:spacing w:val="-2"/>
          <w:sz w:val="28"/>
          <w:szCs w:val="28"/>
        </w:rPr>
        <w:t xml:space="preserve"> </w:t>
      </w:r>
      <w:r w:rsidR="004B1129" w:rsidRPr="00074A84">
        <w:rPr>
          <w:spacing w:val="-2"/>
          <w:sz w:val="28"/>
          <w:szCs w:val="28"/>
        </w:rPr>
        <w:t xml:space="preserve">Бодайбо и района на </w:t>
      </w:r>
      <w:r w:rsidR="004B1129" w:rsidRPr="00074A84">
        <w:rPr>
          <w:spacing w:val="-1"/>
          <w:sz w:val="28"/>
          <w:szCs w:val="28"/>
        </w:rPr>
        <w:t xml:space="preserve">проведение </w:t>
      </w:r>
      <w:r w:rsidR="004B1129">
        <w:rPr>
          <w:spacing w:val="-1"/>
          <w:sz w:val="28"/>
          <w:szCs w:val="28"/>
        </w:rPr>
        <w:t>экспертно-аналитического</w:t>
      </w:r>
      <w:r w:rsidR="004B1129" w:rsidRPr="00074A84">
        <w:rPr>
          <w:spacing w:val="-1"/>
          <w:sz w:val="28"/>
          <w:szCs w:val="28"/>
        </w:rPr>
        <w:t xml:space="preserve"> </w:t>
      </w:r>
      <w:r w:rsidR="004B1129">
        <w:rPr>
          <w:spacing w:val="-1"/>
          <w:sz w:val="28"/>
          <w:szCs w:val="28"/>
        </w:rPr>
        <w:t xml:space="preserve"> </w:t>
      </w:r>
      <w:r w:rsidR="004B1129" w:rsidRPr="00074A84">
        <w:rPr>
          <w:spacing w:val="-1"/>
          <w:sz w:val="28"/>
          <w:szCs w:val="28"/>
        </w:rPr>
        <w:t>мероприятия</w:t>
      </w:r>
      <w:r w:rsidR="004B1129">
        <w:rPr>
          <w:spacing w:val="-1"/>
          <w:sz w:val="28"/>
          <w:szCs w:val="28"/>
        </w:rPr>
        <w:t xml:space="preserve"> </w:t>
      </w:r>
      <w:r w:rsidR="004B1129" w:rsidRPr="00074A84">
        <w:rPr>
          <w:spacing w:val="-1"/>
          <w:sz w:val="28"/>
          <w:szCs w:val="28"/>
        </w:rPr>
        <w:t xml:space="preserve"> </w:t>
      </w:r>
      <w:r w:rsidR="004B1129" w:rsidRPr="0098362D">
        <w:rPr>
          <w:spacing w:val="-1"/>
          <w:sz w:val="28"/>
          <w:szCs w:val="28"/>
        </w:rPr>
        <w:t xml:space="preserve">от </w:t>
      </w:r>
      <w:r w:rsidR="004B1129">
        <w:rPr>
          <w:spacing w:val="-1"/>
          <w:sz w:val="28"/>
          <w:szCs w:val="28"/>
        </w:rPr>
        <w:t xml:space="preserve"> 13</w:t>
      </w:r>
      <w:r w:rsidR="004B1129">
        <w:rPr>
          <w:spacing w:val="-2"/>
          <w:sz w:val="28"/>
          <w:szCs w:val="28"/>
        </w:rPr>
        <w:t>.12</w:t>
      </w:r>
      <w:r w:rsidR="004B1129" w:rsidRPr="00D90FA4">
        <w:rPr>
          <w:spacing w:val="-2"/>
          <w:sz w:val="28"/>
          <w:szCs w:val="28"/>
        </w:rPr>
        <w:t>.202</w:t>
      </w:r>
      <w:r w:rsidR="004B1129">
        <w:rPr>
          <w:spacing w:val="-2"/>
          <w:sz w:val="28"/>
          <w:szCs w:val="28"/>
        </w:rPr>
        <w:t>1</w:t>
      </w:r>
      <w:r w:rsidR="004B1129" w:rsidRPr="00D90FA4">
        <w:rPr>
          <w:spacing w:val="-2"/>
          <w:sz w:val="28"/>
          <w:szCs w:val="28"/>
        </w:rPr>
        <w:t xml:space="preserve"> № </w:t>
      </w:r>
      <w:r w:rsidR="004B1129">
        <w:rPr>
          <w:spacing w:val="-2"/>
          <w:sz w:val="28"/>
          <w:szCs w:val="28"/>
        </w:rPr>
        <w:t>94-</w:t>
      </w:r>
      <w:r w:rsidR="004B1129" w:rsidRPr="00D90FA4">
        <w:rPr>
          <w:spacing w:val="-2"/>
          <w:sz w:val="28"/>
          <w:szCs w:val="28"/>
        </w:rPr>
        <w:t>п</w:t>
      </w:r>
      <w:r w:rsidR="004B1129">
        <w:rPr>
          <w:spacing w:val="-2"/>
          <w:sz w:val="28"/>
          <w:szCs w:val="28"/>
        </w:rPr>
        <w:t>.</w:t>
      </w:r>
    </w:p>
    <w:p w:rsidR="004B1129" w:rsidRDefault="004B1129" w:rsidP="004B1129">
      <w:pPr>
        <w:shd w:val="clear" w:color="auto" w:fill="FFFFFF"/>
        <w:tabs>
          <w:tab w:val="left" w:pos="518"/>
          <w:tab w:val="left" w:leader="underscore" w:pos="101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2034">
        <w:rPr>
          <w:sz w:val="28"/>
          <w:szCs w:val="28"/>
        </w:rPr>
        <w:t>Объект</w:t>
      </w:r>
      <w:r>
        <w:rPr>
          <w:sz w:val="28"/>
          <w:szCs w:val="28"/>
        </w:rPr>
        <w:t>ы экспертно-аналитического мероприятия</w:t>
      </w:r>
      <w:r w:rsidRPr="00C168EB">
        <w:rPr>
          <w:sz w:val="28"/>
          <w:szCs w:val="28"/>
        </w:rPr>
        <w:t>:</w:t>
      </w:r>
      <w:r w:rsidRPr="008530F5">
        <w:rPr>
          <w:sz w:val="28"/>
          <w:szCs w:val="28"/>
        </w:rPr>
        <w:t xml:space="preserve"> </w:t>
      </w:r>
    </w:p>
    <w:p w:rsidR="004B1129" w:rsidRDefault="004B1129" w:rsidP="004B112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          </w:t>
      </w:r>
      <w:r w:rsidRPr="00B83E8F">
        <w:rPr>
          <w:color w:val="212529"/>
          <w:sz w:val="28"/>
          <w:szCs w:val="28"/>
          <w:shd w:val="clear" w:color="auto" w:fill="FFFFFF"/>
        </w:rPr>
        <w:t xml:space="preserve">-  </w:t>
      </w:r>
      <w:r>
        <w:rPr>
          <w:color w:val="212529"/>
          <w:sz w:val="28"/>
          <w:szCs w:val="28"/>
          <w:shd w:val="clear" w:color="auto" w:fill="FFFFFF"/>
        </w:rPr>
        <w:t>А</w:t>
      </w:r>
      <w:r>
        <w:rPr>
          <w:sz w:val="28"/>
          <w:szCs w:val="28"/>
        </w:rPr>
        <w:t>дминистрации муниципального образования г. Бодайбо и района;</w:t>
      </w:r>
    </w:p>
    <w:p w:rsidR="004B1129" w:rsidRDefault="004B1129" w:rsidP="004B112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Финансовое управление г. Бодайбо и района.</w:t>
      </w:r>
    </w:p>
    <w:p w:rsidR="004B1129" w:rsidRPr="003D1B46" w:rsidRDefault="004B1129" w:rsidP="004B112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3157E9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экспертно-аналитического мероприятия</w:t>
      </w:r>
      <w:r w:rsidRPr="003157E9">
        <w:rPr>
          <w:sz w:val="28"/>
          <w:szCs w:val="28"/>
        </w:rPr>
        <w:t>:</w:t>
      </w:r>
      <w:r>
        <w:rPr>
          <w:sz w:val="28"/>
          <w:szCs w:val="28"/>
        </w:rPr>
        <w:t xml:space="preserve"> деятельность органов местного самоуправления по распределению между поселениями, входящими в состав муниципального района, дотаций на выравнивание бюджетной обеспеченности.  </w:t>
      </w:r>
    </w:p>
    <w:p w:rsidR="004B1129" w:rsidRDefault="004B1129" w:rsidP="004B1129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Цели </w:t>
      </w:r>
      <w:r w:rsidRPr="00C168EB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экспертно</w:t>
      </w:r>
      <w:proofErr w:type="gramEnd"/>
      <w:r>
        <w:rPr>
          <w:sz w:val="28"/>
          <w:szCs w:val="28"/>
        </w:rPr>
        <w:t xml:space="preserve">-аналитического </w:t>
      </w:r>
      <w:r w:rsidRPr="00C168EB">
        <w:rPr>
          <w:sz w:val="28"/>
          <w:szCs w:val="28"/>
        </w:rPr>
        <w:t>мероприятия:</w:t>
      </w:r>
      <w:r>
        <w:rPr>
          <w:sz w:val="28"/>
          <w:szCs w:val="28"/>
        </w:rPr>
        <w:t xml:space="preserve">   </w:t>
      </w:r>
    </w:p>
    <w:p w:rsidR="004B1129" w:rsidRDefault="004B1129" w:rsidP="004B1129">
      <w:pPr>
        <w:shd w:val="clear" w:color="auto" w:fill="FFFFFF"/>
        <w:tabs>
          <w:tab w:val="left" w:pos="293"/>
        </w:tabs>
        <w:jc w:val="both"/>
        <w:rPr>
          <w:sz w:val="28"/>
          <w:szCs w:val="28"/>
        </w:rPr>
      </w:pPr>
      <w:r w:rsidRPr="00900AD2">
        <w:rPr>
          <w:b/>
          <w:sz w:val="28"/>
          <w:szCs w:val="28"/>
        </w:rPr>
        <w:t>Цель 4.1.</w:t>
      </w:r>
      <w:r w:rsidRPr="003D1B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Проанализировать соответствие принятых в </w:t>
      </w:r>
      <w:proofErr w:type="spellStart"/>
      <w:r>
        <w:rPr>
          <w:sz w:val="28"/>
          <w:szCs w:val="28"/>
        </w:rPr>
        <w:t>Бодайбинском</w:t>
      </w:r>
      <w:proofErr w:type="spellEnd"/>
      <w:r>
        <w:rPr>
          <w:sz w:val="28"/>
          <w:szCs w:val="28"/>
        </w:rPr>
        <w:t xml:space="preserve"> районе правовых актов об утверждении порядка распределения дотаций на выравнивание бюджетной обеспеченности поселений из бюджета муниципального района требованиям федерального и областного законодательства, основным принципам бюджетного выравнивания. 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Вопросы: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4.1.1. провести анализ муниципальных правовых актов, регулирующих распределение дотаций на выравнивание бюджетной обеспеченности поселений из бюджета муниципального района;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4.1.2. провести анализ действующих в 2020-2021 годах методик распределения дотаций.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4.2.</w:t>
      </w:r>
      <w:r>
        <w:rPr>
          <w:sz w:val="28"/>
          <w:szCs w:val="28"/>
        </w:rPr>
        <w:t xml:space="preserve"> Оценить финансовое обеспечение расходных обязательств,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субсидия.</w:t>
      </w:r>
    </w:p>
    <w:p w:rsidR="004B1129" w:rsidRDefault="004B1129" w:rsidP="004B112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проанализировать объём бюджетных ассигнований, предусмотренных в бюджете муниципального образования на финансовое обеспечение расходных обязательств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субсидия;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2.2. оценить изменения объёма ассигнований предусмотренных в бюджете муниципального образования на финансовое обеспечение расходных </w:t>
      </w:r>
      <w:r>
        <w:rPr>
          <w:sz w:val="28"/>
          <w:szCs w:val="28"/>
        </w:rPr>
        <w:lastRenderedPageBreak/>
        <w:t xml:space="preserve">обязательств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которых предоставляется субсидия (при наличии).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 w:rsidRPr="008E0FD0">
        <w:rPr>
          <w:b/>
          <w:sz w:val="28"/>
          <w:szCs w:val="28"/>
        </w:rPr>
        <w:t>Цель 4.2.</w:t>
      </w:r>
      <w:r>
        <w:rPr>
          <w:sz w:val="28"/>
          <w:szCs w:val="28"/>
        </w:rPr>
        <w:t xml:space="preserve"> Оценить соблюдение органами местного самоуправления Иркутской области порядка и условий предоставления субсидий.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4.2.1. проанализировать соблюдение условий предоставления субсидий, установленных в соглашениях о предоставлении субсидии из областного бюджета;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4.2.2. оценить причины возврата не использованных по состоянию на 1 января финансового года, следующего за отчётным, остатка средств субсидии в сроки, установленные бюджетным законодательством (при наличии).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 w:rsidRPr="00BD3D2E">
        <w:rPr>
          <w:b/>
          <w:sz w:val="28"/>
          <w:szCs w:val="28"/>
        </w:rPr>
        <w:t>Цель 4.3</w:t>
      </w:r>
      <w:r>
        <w:rPr>
          <w:sz w:val="28"/>
          <w:szCs w:val="28"/>
        </w:rPr>
        <w:t>. Оценить соответствие расчетов распределения дотаций на выравнивание бюджетной обеспеченности поселений из бюджета муниципального района положениям муниципальных правовых актов.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Вопросы:</w:t>
      </w:r>
    </w:p>
    <w:p w:rsidR="004B1129" w:rsidRDefault="004B1129" w:rsidP="004B112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4.3.1. провести оценку соответствие расчетов распределения дотаций на выравнивание бюджетной обеспеченности поселений действующим порядкам;</w:t>
      </w:r>
    </w:p>
    <w:p w:rsidR="004B1129" w:rsidRDefault="004B1129" w:rsidP="004B1129">
      <w:pPr>
        <w:pStyle w:val="a4"/>
        <w:ind w:left="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4.3.2. оценить эффективность применения действующего порядка распределения дотаций на выравнивание бюджетной обеспеченности поселений из бюджета муниципального района.</w:t>
      </w:r>
      <w:r>
        <w:rPr>
          <w:spacing w:val="-2"/>
          <w:sz w:val="28"/>
          <w:szCs w:val="28"/>
        </w:rPr>
        <w:tab/>
      </w:r>
    </w:p>
    <w:p w:rsidR="004B1129" w:rsidRDefault="004B1129" w:rsidP="004B1129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51235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551235">
        <w:rPr>
          <w:spacing w:val="-2"/>
          <w:sz w:val="28"/>
          <w:szCs w:val="28"/>
        </w:rPr>
        <w:t>Проверяемый период деятельности:</w:t>
      </w:r>
      <w:r>
        <w:rPr>
          <w:spacing w:val="-2"/>
          <w:sz w:val="28"/>
          <w:szCs w:val="28"/>
        </w:rPr>
        <w:t xml:space="preserve"> 2020-2021 год.</w:t>
      </w:r>
      <w:r>
        <w:rPr>
          <w:sz w:val="28"/>
          <w:szCs w:val="28"/>
        </w:rPr>
        <w:t xml:space="preserve"> </w:t>
      </w:r>
    </w:p>
    <w:p w:rsidR="004B1129" w:rsidRDefault="004B1129" w:rsidP="004B1129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bCs/>
          <w:sz w:val="28"/>
          <w:szCs w:val="28"/>
        </w:rPr>
      </w:pPr>
      <w:r w:rsidRPr="00E31D3F">
        <w:rPr>
          <w:sz w:val="28"/>
          <w:szCs w:val="28"/>
        </w:rPr>
        <w:t xml:space="preserve">6. </w:t>
      </w:r>
      <w:r w:rsidRPr="00DF621A">
        <w:rPr>
          <w:bCs/>
          <w:sz w:val="28"/>
          <w:szCs w:val="28"/>
        </w:rPr>
        <w:t>Результаты контрольного мероприятия:</w:t>
      </w:r>
    </w:p>
    <w:p w:rsidR="004B1129" w:rsidRDefault="004B1129" w:rsidP="004B1129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 на выравнивание бюджетной обеспеченности поселений (внутригородских районов) предусматриваются в бюджете субъекта Российской Федерации в целях выравнивания финансовых возможностей городских поселений, сельских поселений,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(или) бюджетной обеспеченности (статья 137 БК РФ).</w:t>
      </w:r>
    </w:p>
    <w:p w:rsidR="004B1129" w:rsidRDefault="004B1129" w:rsidP="004B112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142.1 ВК РФ, дотации на выравнивание бюджетной обеспеченности поселений из бюджета муниципального района предоставляются поселениям, входящим в состав данного муниципального района, в соответствии с муниципальными правовыми актами представительного органа муниципального района, принимаемыми в соответствии с требованиями Бюджетного кодекса РФ и соответствующими им законами субъекта Российской Федерации.</w:t>
      </w:r>
    </w:p>
    <w:p w:rsidR="004B1129" w:rsidRPr="008C3A35" w:rsidRDefault="004B1129" w:rsidP="004B1129">
      <w:pPr>
        <w:widowControl/>
        <w:ind w:firstLine="540"/>
        <w:jc w:val="both"/>
        <w:rPr>
          <w:bCs/>
          <w:sz w:val="28"/>
          <w:szCs w:val="28"/>
        </w:rPr>
      </w:pPr>
      <w:r w:rsidRPr="008C3A35">
        <w:rPr>
          <w:bCs/>
          <w:sz w:val="28"/>
          <w:szCs w:val="28"/>
        </w:rPr>
        <w:t xml:space="preserve">Порядок </w:t>
      </w:r>
      <w:r>
        <w:rPr>
          <w:bCs/>
          <w:sz w:val="28"/>
          <w:szCs w:val="28"/>
        </w:rPr>
        <w:t xml:space="preserve">определения объёма и </w:t>
      </w:r>
      <w:r w:rsidRPr="008C3A35">
        <w:rPr>
          <w:bCs/>
          <w:sz w:val="28"/>
          <w:szCs w:val="28"/>
        </w:rPr>
        <w:t xml:space="preserve">распределения дотаций на выравнивание бюджетной обеспеченности поселений (внутригородских районов), в том числе порядок расчета и установления заменяющих дотации дополнительных нормативов отчислений от налога на доходы физических лиц в местные бюджеты, а также порядок определения критериев выравнивания финансовых возможностей городских поселений, сельских поселений, внутригородских районов утверждается законом субъекта Российской Федерации в соответствии с требованиями </w:t>
      </w:r>
      <w:r>
        <w:rPr>
          <w:bCs/>
          <w:sz w:val="28"/>
          <w:szCs w:val="28"/>
        </w:rPr>
        <w:t>Бюджетного кодекса РФ</w:t>
      </w:r>
      <w:r w:rsidRPr="008C3A35">
        <w:rPr>
          <w:bCs/>
          <w:sz w:val="28"/>
          <w:szCs w:val="28"/>
        </w:rPr>
        <w:t>.</w:t>
      </w:r>
    </w:p>
    <w:p w:rsidR="004B1129" w:rsidRDefault="004B1129" w:rsidP="004B1129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Порядок (методика) расчета субвенций бюджетам муниципальных районов на осуществление данных полномочий и порядок (методика) расчета органами местного самоуправления муниципальных районов размера дотаций бюджетам городских, сельских поселений, в том числе порядок (методика) расчета и установления заменяющих их дополнительных нормативов отчислений от налога на доходы физических лиц</w:t>
      </w:r>
      <w:r w:rsidRPr="00786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 Законом Иркутской области от 22.10.2013 № 74-ОЗ «О межбюджетных трансфертах и нормативах отчислений доходов в местные бюджеты».  </w:t>
      </w:r>
    </w:p>
    <w:p w:rsidR="004B1129" w:rsidRDefault="004B1129" w:rsidP="004B1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 Думы муниципального образования г. Бодайбо и района</w:t>
      </w:r>
      <w:r w:rsidRPr="00B371DB">
        <w:rPr>
          <w:sz w:val="28"/>
          <w:szCs w:val="28"/>
        </w:rPr>
        <w:t xml:space="preserve"> от </w:t>
      </w:r>
      <w:r>
        <w:rPr>
          <w:sz w:val="28"/>
          <w:szCs w:val="28"/>
        </w:rPr>
        <w:t>24.02.2015 №6-па</w:t>
      </w:r>
      <w:r w:rsidRPr="00B37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 изменениями и дополнениями) утверждено «Положение о предоставлении дотаций на выравнивание бюджетной обеспеченности поселений, входящих в состав муниципального образования г. Бодайбо и района, из бюджета муниципального образования г. Бодайбо и района». Пунктом 2 Положения определено, что </w:t>
      </w:r>
      <w:r w:rsidRPr="00B371DB">
        <w:rPr>
          <w:sz w:val="28"/>
          <w:szCs w:val="28"/>
        </w:rPr>
        <w:t xml:space="preserve">дотации на выравнивание бюджетной обеспеченности </w:t>
      </w:r>
      <w:proofErr w:type="gramStart"/>
      <w:r w:rsidRPr="00B371DB">
        <w:rPr>
          <w:sz w:val="28"/>
          <w:szCs w:val="28"/>
        </w:rPr>
        <w:t>поселений  предусматриваются</w:t>
      </w:r>
      <w:proofErr w:type="gramEnd"/>
      <w:r w:rsidRPr="00B371DB">
        <w:rPr>
          <w:sz w:val="28"/>
          <w:szCs w:val="28"/>
        </w:rPr>
        <w:t xml:space="preserve"> в районном бюджете в целях выравнивания финансовых возможностей поселений по осуществлению органами местного самоуправления полномочий, по решению вопросов местного значения. </w:t>
      </w:r>
    </w:p>
    <w:p w:rsidR="004B1129" w:rsidRDefault="004B1129" w:rsidP="004B1129">
      <w:pPr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Получателями дотаций на выравнивание бюджетной обеспеченности поселений, входящих в состав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 </w:t>
      </w:r>
      <w:r w:rsidRPr="00B371DB">
        <w:rPr>
          <w:sz w:val="28"/>
          <w:szCs w:val="28"/>
        </w:rPr>
        <w:t>из районного бюджета (далее</w:t>
      </w:r>
      <w:r>
        <w:rPr>
          <w:sz w:val="28"/>
          <w:szCs w:val="28"/>
        </w:rPr>
        <w:t xml:space="preserve"> -</w:t>
      </w:r>
      <w:r w:rsidRPr="00B371DB">
        <w:rPr>
          <w:sz w:val="28"/>
          <w:szCs w:val="28"/>
        </w:rPr>
        <w:t xml:space="preserve"> Дотации) являются </w:t>
      </w:r>
      <w:r>
        <w:rPr>
          <w:sz w:val="28"/>
          <w:szCs w:val="28"/>
        </w:rPr>
        <w:t xml:space="preserve">5 поселений: </w:t>
      </w:r>
      <w:proofErr w:type="spellStart"/>
      <w:r>
        <w:rPr>
          <w:sz w:val="28"/>
          <w:szCs w:val="28"/>
        </w:rPr>
        <w:t>Бодайбинское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Балахнинское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Мамаканское</w:t>
      </w:r>
      <w:proofErr w:type="spellEnd"/>
      <w:r>
        <w:rPr>
          <w:sz w:val="28"/>
          <w:szCs w:val="28"/>
        </w:rPr>
        <w:t xml:space="preserve">, Артемовское, </w:t>
      </w:r>
      <w:proofErr w:type="spellStart"/>
      <w:r>
        <w:rPr>
          <w:sz w:val="28"/>
          <w:szCs w:val="28"/>
        </w:rPr>
        <w:t>Жуинское</w:t>
      </w:r>
      <w:proofErr w:type="spellEnd"/>
      <w:r w:rsidRPr="00B371DB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Кропоткинское МО не является получателем </w:t>
      </w:r>
      <w:r w:rsidRPr="00B371DB">
        <w:rPr>
          <w:sz w:val="28"/>
          <w:szCs w:val="28"/>
        </w:rPr>
        <w:t>дотации на выравнивание бюджетной обеспеченности</w:t>
      </w:r>
      <w:r>
        <w:rPr>
          <w:sz w:val="28"/>
          <w:szCs w:val="28"/>
        </w:rPr>
        <w:t xml:space="preserve">, так как </w:t>
      </w:r>
      <w:r w:rsidRPr="00B371DB">
        <w:rPr>
          <w:sz w:val="28"/>
          <w:szCs w:val="28"/>
        </w:rPr>
        <w:t>в соответствии со статьей 13</w:t>
      </w:r>
      <w:r>
        <w:rPr>
          <w:sz w:val="28"/>
          <w:szCs w:val="28"/>
        </w:rPr>
        <w:t>6</w:t>
      </w:r>
      <w:r w:rsidRPr="00B371DB">
        <w:rPr>
          <w:sz w:val="28"/>
          <w:szCs w:val="28"/>
        </w:rPr>
        <w:t xml:space="preserve"> Б</w:t>
      </w:r>
      <w:r>
        <w:rPr>
          <w:sz w:val="28"/>
          <w:szCs w:val="28"/>
        </w:rPr>
        <w:t>К</w:t>
      </w:r>
      <w:r w:rsidRPr="00B371DB">
        <w:rPr>
          <w:sz w:val="28"/>
          <w:szCs w:val="28"/>
        </w:rPr>
        <w:t xml:space="preserve"> РФ</w:t>
      </w:r>
      <w:r>
        <w:rPr>
          <w:sz w:val="28"/>
          <w:szCs w:val="28"/>
        </w:rPr>
        <w:t xml:space="preserve"> относятся к первой группе </w:t>
      </w:r>
      <w:proofErr w:type="spellStart"/>
      <w:r>
        <w:rPr>
          <w:sz w:val="28"/>
          <w:szCs w:val="28"/>
        </w:rPr>
        <w:t>дотационности</w:t>
      </w:r>
      <w:proofErr w:type="spellEnd"/>
      <w:r w:rsidRPr="00B371DB">
        <w:rPr>
          <w:sz w:val="28"/>
          <w:szCs w:val="28"/>
        </w:rPr>
        <w:t>.</w:t>
      </w:r>
    </w:p>
    <w:p w:rsidR="004B1129" w:rsidRPr="00B371DB" w:rsidRDefault="004B1129" w:rsidP="004B1129">
      <w:pPr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Предоставление Дотаций </w:t>
      </w:r>
      <w:r>
        <w:rPr>
          <w:sz w:val="28"/>
          <w:szCs w:val="28"/>
        </w:rPr>
        <w:t xml:space="preserve">на выравнивание бюджетной обеспеченности </w:t>
      </w:r>
      <w:r w:rsidRPr="00B371DB">
        <w:rPr>
          <w:sz w:val="28"/>
          <w:szCs w:val="28"/>
        </w:rPr>
        <w:t xml:space="preserve">поселениям в соответствии со статьей 142.1 Бюджетного кодекса Российской Федерации осуществлялось в 2020 – 2021 годах </w:t>
      </w:r>
      <w:r>
        <w:rPr>
          <w:sz w:val="28"/>
          <w:szCs w:val="28"/>
        </w:rPr>
        <w:t>з</w:t>
      </w:r>
      <w:r w:rsidRPr="00B371DB">
        <w:rPr>
          <w:sz w:val="28"/>
          <w:szCs w:val="28"/>
        </w:rPr>
        <w:t xml:space="preserve">а счет средств бюджета муниципального образования </w:t>
      </w:r>
      <w:r>
        <w:rPr>
          <w:sz w:val="28"/>
          <w:szCs w:val="28"/>
        </w:rPr>
        <w:t>г. Бодайбо и района</w:t>
      </w:r>
      <w:r w:rsidRPr="00B371DB">
        <w:rPr>
          <w:sz w:val="28"/>
          <w:szCs w:val="28"/>
        </w:rPr>
        <w:t>.</w:t>
      </w:r>
    </w:p>
    <w:p w:rsidR="004B1129" w:rsidRDefault="004B1129" w:rsidP="004B1129">
      <w:pPr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Получателем из областного </w:t>
      </w:r>
      <w:proofErr w:type="gramStart"/>
      <w:r w:rsidRPr="00B371DB">
        <w:rPr>
          <w:sz w:val="28"/>
          <w:szCs w:val="28"/>
        </w:rPr>
        <w:t>бюджета  субсидий</w:t>
      </w:r>
      <w:proofErr w:type="gramEnd"/>
      <w:r w:rsidRPr="00B371DB">
        <w:rPr>
          <w:sz w:val="28"/>
          <w:szCs w:val="28"/>
        </w:rPr>
        <w:t xml:space="preserve"> на выравнивание уровня бюджетной обеспеченности поселений Иркутской области, входящих в состав муниципального района Иркутской области, муниципальное образование </w:t>
      </w:r>
      <w:r>
        <w:rPr>
          <w:sz w:val="28"/>
          <w:szCs w:val="28"/>
        </w:rPr>
        <w:t xml:space="preserve">г. Бодайбо и района </w:t>
      </w:r>
      <w:r w:rsidRPr="00B371DB">
        <w:rPr>
          <w:sz w:val="28"/>
          <w:szCs w:val="28"/>
        </w:rPr>
        <w:t>в 2020 году и 1</w:t>
      </w:r>
      <w:r>
        <w:rPr>
          <w:sz w:val="28"/>
          <w:szCs w:val="28"/>
        </w:rPr>
        <w:t>1</w:t>
      </w:r>
      <w:r w:rsidRPr="00B371DB">
        <w:rPr>
          <w:sz w:val="28"/>
          <w:szCs w:val="28"/>
        </w:rPr>
        <w:t xml:space="preserve"> месяцев 2021 года не являлось. </w:t>
      </w:r>
    </w:p>
    <w:p w:rsidR="004B1129" w:rsidRPr="00B371DB" w:rsidRDefault="004B1129" w:rsidP="004B11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Иркутской области № 130-ОЗ от 20.12.2019 (с изменениями и дополнениями) </w:t>
      </w:r>
      <w:r w:rsidRPr="00B371DB">
        <w:rPr>
          <w:sz w:val="28"/>
          <w:szCs w:val="28"/>
        </w:rPr>
        <w:t>«Об областном бюджете на 202</w:t>
      </w:r>
      <w:r>
        <w:rPr>
          <w:sz w:val="28"/>
          <w:szCs w:val="28"/>
        </w:rPr>
        <w:t>0</w:t>
      </w:r>
      <w:r w:rsidRPr="00B371DB">
        <w:rPr>
          <w:sz w:val="28"/>
          <w:szCs w:val="28"/>
        </w:rPr>
        <w:t xml:space="preserve"> года и плановый период 202</w:t>
      </w:r>
      <w:r>
        <w:rPr>
          <w:sz w:val="28"/>
          <w:szCs w:val="28"/>
        </w:rPr>
        <w:t>1</w:t>
      </w:r>
      <w:r w:rsidRPr="00B371D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371DB">
        <w:rPr>
          <w:sz w:val="28"/>
          <w:szCs w:val="28"/>
        </w:rPr>
        <w:t xml:space="preserve"> годов»</w:t>
      </w:r>
      <w:r w:rsidRPr="009463BD">
        <w:rPr>
          <w:sz w:val="28"/>
          <w:szCs w:val="28"/>
        </w:rPr>
        <w:t xml:space="preserve"> </w:t>
      </w:r>
      <w:r w:rsidRPr="00B371DB">
        <w:rPr>
          <w:sz w:val="28"/>
          <w:szCs w:val="28"/>
        </w:rPr>
        <w:t>предусмотрено предоставление муниципальн</w:t>
      </w:r>
      <w:r>
        <w:rPr>
          <w:sz w:val="28"/>
          <w:szCs w:val="28"/>
        </w:rPr>
        <w:t>ым о</w:t>
      </w:r>
      <w:r w:rsidRPr="00B371DB">
        <w:rPr>
          <w:sz w:val="28"/>
          <w:szCs w:val="28"/>
        </w:rPr>
        <w:t>бразовани</w:t>
      </w:r>
      <w:r>
        <w:rPr>
          <w:sz w:val="28"/>
          <w:szCs w:val="28"/>
        </w:rPr>
        <w:t>ям</w:t>
      </w:r>
      <w:r w:rsidRPr="00B371DB">
        <w:rPr>
          <w:sz w:val="28"/>
          <w:szCs w:val="28"/>
        </w:rPr>
        <w:t xml:space="preserve"> </w:t>
      </w:r>
      <w:r>
        <w:rPr>
          <w:sz w:val="28"/>
          <w:szCs w:val="28"/>
        </w:rPr>
        <w:t>г. Бодайбо и района</w:t>
      </w:r>
      <w:r w:rsidRPr="00B371DB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дотаций</w:t>
      </w:r>
      <w:r w:rsidRPr="00B371DB">
        <w:rPr>
          <w:sz w:val="28"/>
          <w:szCs w:val="28"/>
        </w:rPr>
        <w:t xml:space="preserve"> на выравнивание уровня бюджетной обеспеченности поселений Иркутской области в размере </w:t>
      </w:r>
      <w:r>
        <w:rPr>
          <w:sz w:val="28"/>
          <w:szCs w:val="28"/>
        </w:rPr>
        <w:t>8637,8</w:t>
      </w:r>
      <w:r w:rsidRPr="00B371DB">
        <w:rPr>
          <w:sz w:val="28"/>
          <w:szCs w:val="28"/>
        </w:rPr>
        <w:t xml:space="preserve"> тыс. рублей. </w:t>
      </w:r>
    </w:p>
    <w:p w:rsidR="004B1129" w:rsidRPr="00B371DB" w:rsidRDefault="004B1129" w:rsidP="004B1129">
      <w:pPr>
        <w:ind w:firstLine="567"/>
        <w:jc w:val="both"/>
        <w:rPr>
          <w:sz w:val="28"/>
          <w:szCs w:val="28"/>
        </w:rPr>
      </w:pPr>
      <w:r w:rsidRPr="00B371DB">
        <w:rPr>
          <w:sz w:val="28"/>
          <w:szCs w:val="28"/>
        </w:rPr>
        <w:t>Законом Иркутской области №95-оз от 25.10.2021 года «О внесении изменений в Закон Иркутской области «Об областном бюджете на 2021 года и плановый период 2022 и 2023 годов» предусмотрено предоставление муниципальн</w:t>
      </w:r>
      <w:r>
        <w:rPr>
          <w:sz w:val="28"/>
          <w:szCs w:val="28"/>
        </w:rPr>
        <w:t>ым о</w:t>
      </w:r>
      <w:r w:rsidRPr="00B371DB">
        <w:rPr>
          <w:sz w:val="28"/>
          <w:szCs w:val="28"/>
        </w:rPr>
        <w:t>бразовани</w:t>
      </w:r>
      <w:r>
        <w:rPr>
          <w:sz w:val="28"/>
          <w:szCs w:val="28"/>
        </w:rPr>
        <w:t>ям</w:t>
      </w:r>
      <w:r w:rsidRPr="00B371DB">
        <w:rPr>
          <w:sz w:val="28"/>
          <w:szCs w:val="28"/>
        </w:rPr>
        <w:t xml:space="preserve"> </w:t>
      </w:r>
      <w:r>
        <w:rPr>
          <w:sz w:val="28"/>
          <w:szCs w:val="28"/>
        </w:rPr>
        <w:t>г. Бодайбо и района</w:t>
      </w:r>
      <w:r w:rsidRPr="00B371DB">
        <w:rPr>
          <w:sz w:val="28"/>
          <w:szCs w:val="28"/>
        </w:rPr>
        <w:t xml:space="preserve"> </w:t>
      </w:r>
      <w:r>
        <w:rPr>
          <w:sz w:val="28"/>
          <w:szCs w:val="28"/>
        </w:rPr>
        <w:t>дотаций</w:t>
      </w:r>
      <w:r w:rsidRPr="00B371DB">
        <w:rPr>
          <w:sz w:val="28"/>
          <w:szCs w:val="28"/>
        </w:rPr>
        <w:t xml:space="preserve"> на выравнивание уровня бюджетной обеспеченности поселений Иркутской области в размере </w:t>
      </w:r>
      <w:r>
        <w:rPr>
          <w:sz w:val="28"/>
          <w:szCs w:val="28"/>
        </w:rPr>
        <w:lastRenderedPageBreak/>
        <w:t>9373,1</w:t>
      </w:r>
      <w:r w:rsidRPr="00B371DB">
        <w:rPr>
          <w:sz w:val="28"/>
          <w:szCs w:val="28"/>
        </w:rPr>
        <w:t xml:space="preserve"> тыс. рублей. </w:t>
      </w:r>
    </w:p>
    <w:p w:rsidR="004B1129" w:rsidRPr="00B371DB" w:rsidRDefault="004B1129" w:rsidP="004B1129">
      <w:pPr>
        <w:jc w:val="both"/>
        <w:rPr>
          <w:sz w:val="28"/>
          <w:szCs w:val="28"/>
        </w:rPr>
      </w:pPr>
      <w:r w:rsidRPr="00B371DB">
        <w:rPr>
          <w:sz w:val="28"/>
          <w:szCs w:val="28"/>
        </w:rPr>
        <w:t xml:space="preserve">          Размер Дотаций поселениям из бюджета муниципального образования </w:t>
      </w:r>
      <w:r>
        <w:rPr>
          <w:sz w:val="28"/>
          <w:szCs w:val="28"/>
        </w:rPr>
        <w:t xml:space="preserve">г. Бодайбо и района </w:t>
      </w:r>
      <w:r w:rsidRPr="00B371DB">
        <w:rPr>
          <w:sz w:val="28"/>
          <w:szCs w:val="28"/>
        </w:rPr>
        <w:t xml:space="preserve">в 2020-2021 годах составил: 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400"/>
        <w:gridCol w:w="2113"/>
        <w:gridCol w:w="2268"/>
      </w:tblGrid>
      <w:tr w:rsidR="004B1129" w:rsidRPr="00B371DB" w:rsidTr="009F2BE7">
        <w:trPr>
          <w:trHeight w:val="315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1129" w:rsidRPr="00B371DB" w:rsidRDefault="004B1129" w:rsidP="009F2BE7">
            <w:pPr>
              <w:spacing w:line="276" w:lineRule="auto"/>
            </w:pPr>
          </w:p>
        </w:tc>
        <w:tc>
          <w:tcPr>
            <w:tcW w:w="4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129" w:rsidRPr="00B371DB" w:rsidRDefault="004B1129" w:rsidP="009F2BE7">
            <w:pPr>
              <w:spacing w:line="276" w:lineRule="auto"/>
              <w:jc w:val="right"/>
            </w:pPr>
            <w:r w:rsidRPr="00B371DB">
              <w:t>(</w:t>
            </w:r>
            <w:proofErr w:type="spellStart"/>
            <w:r w:rsidRPr="00B371DB">
              <w:t>тыс.рублей</w:t>
            </w:r>
            <w:proofErr w:type="spellEnd"/>
            <w:r w:rsidRPr="00B371DB">
              <w:t>)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Наименования   поселений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129" w:rsidRPr="00723AC4" w:rsidRDefault="004B1129" w:rsidP="009F2BE7">
            <w:pPr>
              <w:spacing w:line="276" w:lineRule="auto"/>
              <w:ind w:left="567"/>
              <w:jc w:val="center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 xml:space="preserve">2021 г. </w:t>
            </w:r>
          </w:p>
          <w:p w:rsidR="004B1129" w:rsidRPr="00723AC4" w:rsidRDefault="004B1129" w:rsidP="009F2BE7">
            <w:pPr>
              <w:spacing w:line="276" w:lineRule="auto"/>
              <w:ind w:left="567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 xml:space="preserve">      (план)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Артемовское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7907,9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29" w:rsidRPr="00723AC4" w:rsidRDefault="004B1129" w:rsidP="009F2BE7">
            <w:pPr>
              <w:spacing w:line="276" w:lineRule="auto"/>
              <w:ind w:left="582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6557,4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3AC4">
              <w:rPr>
                <w:sz w:val="24"/>
                <w:szCs w:val="24"/>
              </w:rPr>
              <w:t>Балахнинское</w:t>
            </w:r>
            <w:proofErr w:type="spellEnd"/>
            <w:r w:rsidRPr="00723AC4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9136,5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29" w:rsidRPr="00723AC4" w:rsidRDefault="004B1129" w:rsidP="009F2BE7">
            <w:pPr>
              <w:spacing w:line="276" w:lineRule="auto"/>
              <w:ind w:left="672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10892,5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3AC4">
              <w:rPr>
                <w:sz w:val="24"/>
                <w:szCs w:val="24"/>
              </w:rPr>
              <w:t>Бодайбинское</w:t>
            </w:r>
            <w:proofErr w:type="spellEnd"/>
            <w:r w:rsidRPr="00723AC4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18043,7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129" w:rsidRPr="00723AC4" w:rsidRDefault="004B1129" w:rsidP="009F2BE7">
            <w:pPr>
              <w:spacing w:line="276" w:lineRule="auto"/>
              <w:ind w:left="702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18859,9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3AC4">
              <w:rPr>
                <w:sz w:val="24"/>
                <w:szCs w:val="24"/>
              </w:rPr>
              <w:t>Жуинское</w:t>
            </w:r>
            <w:proofErr w:type="spellEnd"/>
            <w:r w:rsidRPr="00723AC4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5914,3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4972,2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723AC4">
              <w:rPr>
                <w:sz w:val="24"/>
                <w:szCs w:val="24"/>
              </w:rPr>
              <w:t>Мамаканское</w:t>
            </w:r>
            <w:proofErr w:type="spellEnd"/>
            <w:r w:rsidRPr="00723AC4">
              <w:rPr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11521,1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129" w:rsidRPr="00723AC4" w:rsidRDefault="004B1129" w:rsidP="009F2BE7">
            <w:pPr>
              <w:spacing w:line="276" w:lineRule="auto"/>
              <w:ind w:left="582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14929,5</w:t>
            </w:r>
          </w:p>
        </w:tc>
      </w:tr>
      <w:tr w:rsidR="004B1129" w:rsidRPr="00B371DB" w:rsidTr="009F2BE7">
        <w:trPr>
          <w:trHeight w:val="31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Итого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129" w:rsidRPr="00723AC4" w:rsidRDefault="004B1129" w:rsidP="009F2B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52523,5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1129" w:rsidRPr="00723AC4" w:rsidRDefault="004B1129" w:rsidP="009F2BE7">
            <w:pPr>
              <w:spacing w:line="276" w:lineRule="auto"/>
              <w:ind w:left="582"/>
              <w:jc w:val="right"/>
              <w:rPr>
                <w:sz w:val="24"/>
                <w:szCs w:val="24"/>
              </w:rPr>
            </w:pPr>
            <w:r w:rsidRPr="00723AC4">
              <w:rPr>
                <w:sz w:val="24"/>
                <w:szCs w:val="24"/>
              </w:rPr>
              <w:t>56211,5</w:t>
            </w:r>
          </w:p>
        </w:tc>
      </w:tr>
    </w:tbl>
    <w:p w:rsidR="004B1129" w:rsidRPr="00B371DB" w:rsidRDefault="004B1129" w:rsidP="004B1129">
      <w:pPr>
        <w:spacing w:line="276" w:lineRule="auto"/>
        <w:jc w:val="both"/>
      </w:pPr>
      <w:r w:rsidRPr="00B371DB">
        <w:t xml:space="preserve">       </w:t>
      </w:r>
    </w:p>
    <w:p w:rsidR="004B1129" w:rsidRDefault="004B1129" w:rsidP="004B1129">
      <w:pPr>
        <w:pStyle w:val="ConsPlusTitle"/>
        <w:jc w:val="both"/>
        <w:rPr>
          <w:b w:val="0"/>
          <w:sz w:val="28"/>
          <w:szCs w:val="28"/>
        </w:rPr>
      </w:pPr>
      <w:r w:rsidRPr="00B371DB">
        <w:rPr>
          <w:b w:val="0"/>
          <w:sz w:val="28"/>
          <w:szCs w:val="28"/>
        </w:rPr>
        <w:t xml:space="preserve">         Деятельность органов местного самоуправления муниципального образования </w:t>
      </w:r>
      <w:r>
        <w:rPr>
          <w:b w:val="0"/>
          <w:sz w:val="28"/>
          <w:szCs w:val="28"/>
        </w:rPr>
        <w:t>г. Бодайбо и района</w:t>
      </w:r>
      <w:r w:rsidRPr="00B371DB">
        <w:rPr>
          <w:b w:val="0"/>
          <w:sz w:val="28"/>
          <w:szCs w:val="28"/>
        </w:rPr>
        <w:t xml:space="preserve"> по регулированию распределения дотаций на выравнивание бюджетной обеспеченности поселений из районного бюджета регламентирована решением Думы муниципального образования </w:t>
      </w:r>
      <w:r>
        <w:rPr>
          <w:b w:val="0"/>
          <w:sz w:val="28"/>
          <w:szCs w:val="28"/>
        </w:rPr>
        <w:t xml:space="preserve">г. Бодайбо и района </w:t>
      </w:r>
      <w:r w:rsidRPr="00B371DB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24.02.2015 №6-па</w:t>
      </w:r>
      <w:r w:rsidRPr="00B371DB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 xml:space="preserve">Об утверждении Положения о предоставлении дотаций на выравнивание бюджетной обеспеченности поселений, входящих в состав муниципального образования г. Бодайбо и района, из бюджета муниципального образования г. Бодайбо и района» (с изменениям и дополнениями). </w:t>
      </w:r>
    </w:p>
    <w:p w:rsidR="004B1129" w:rsidRPr="00B371DB" w:rsidRDefault="004B1129" w:rsidP="004B1129">
      <w:pPr>
        <w:pStyle w:val="ConsPlusTitle"/>
        <w:jc w:val="both"/>
        <w:rPr>
          <w:b w:val="0"/>
          <w:sz w:val="28"/>
          <w:szCs w:val="28"/>
        </w:rPr>
      </w:pPr>
      <w:r w:rsidRPr="00B371DB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Распределение дотаций на выравнивание бюджетной обеспеченности Финансовым управлением г. Бодайбо и района осуществляется в соответствии </w:t>
      </w:r>
      <w:r w:rsidRPr="00B371DB">
        <w:rPr>
          <w:b w:val="0"/>
          <w:sz w:val="28"/>
          <w:szCs w:val="28"/>
        </w:rPr>
        <w:t xml:space="preserve">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 Законом Иркутской области от 22 октября 2013 года №74-ОЗ «О межбюджетных трансфертах и нормативах отчислений доходов в местные бюджеты» (в ред. </w:t>
      </w:r>
      <w:hyperlink r:id="rId6" w:history="1">
        <w:r w:rsidRPr="00EB6EED">
          <w:rPr>
            <w:b w:val="0"/>
            <w:color w:val="0D0D0D"/>
            <w:sz w:val="28"/>
            <w:szCs w:val="28"/>
          </w:rPr>
          <w:t>от 03.03.2021 N 11-ОЗ</w:t>
        </w:r>
      </w:hyperlink>
      <w:r w:rsidRPr="00EB6EED">
        <w:rPr>
          <w:b w:val="0"/>
          <w:color w:val="0D0D0D"/>
          <w:sz w:val="28"/>
          <w:szCs w:val="28"/>
        </w:rPr>
        <w:t>).</w:t>
      </w:r>
      <w:r w:rsidRPr="00B371DB">
        <w:rPr>
          <w:b w:val="0"/>
          <w:sz w:val="28"/>
          <w:szCs w:val="28"/>
        </w:rPr>
        <w:t xml:space="preserve"> </w:t>
      </w:r>
    </w:p>
    <w:p w:rsidR="004B1129" w:rsidRDefault="004B1129" w:rsidP="004B1129">
      <w:pPr>
        <w:pStyle w:val="ConsPlusTitle"/>
        <w:jc w:val="both"/>
        <w:rPr>
          <w:b w:val="0"/>
          <w:color w:val="0D0D0D"/>
          <w:sz w:val="28"/>
          <w:szCs w:val="28"/>
        </w:rPr>
      </w:pPr>
      <w:r w:rsidRPr="00EB6EED">
        <w:rPr>
          <w:b w:val="0"/>
          <w:i/>
          <w:iCs/>
          <w:color w:val="0D0D0D"/>
          <w:sz w:val="28"/>
          <w:szCs w:val="28"/>
        </w:rPr>
        <w:t xml:space="preserve"> </w:t>
      </w:r>
      <w:r w:rsidRPr="00EB6EED">
        <w:rPr>
          <w:b w:val="0"/>
          <w:color w:val="0D0D0D"/>
          <w:sz w:val="28"/>
          <w:szCs w:val="28"/>
        </w:rPr>
        <w:t xml:space="preserve">        Методика распределения дотаций на выравнивание бюджетной обеспеченности поселений определена </w:t>
      </w:r>
      <w:r w:rsidRPr="00B371DB">
        <w:rPr>
          <w:b w:val="0"/>
          <w:sz w:val="28"/>
          <w:szCs w:val="28"/>
        </w:rPr>
        <w:t>приложение</w:t>
      </w:r>
      <w:r>
        <w:rPr>
          <w:b w:val="0"/>
          <w:sz w:val="28"/>
          <w:szCs w:val="28"/>
        </w:rPr>
        <w:t>м</w:t>
      </w:r>
      <w:r w:rsidRPr="00B371DB">
        <w:rPr>
          <w:b w:val="0"/>
          <w:sz w:val="28"/>
          <w:szCs w:val="28"/>
        </w:rPr>
        <w:t xml:space="preserve"> 9 к Закону Иркутской области «О межбюджетных трансфертах и нормативах отчислений доходов в местные бюджеты» от 22 октября 2013 года № 74-ОЗ (в ред. </w:t>
      </w:r>
      <w:r w:rsidRPr="00B371DB">
        <w:rPr>
          <w:rStyle w:val="doccaption"/>
          <w:b w:val="0"/>
          <w:sz w:val="28"/>
          <w:szCs w:val="28"/>
        </w:rPr>
        <w:t>03.03.2021 N 11-ОЗ</w:t>
      </w:r>
      <w:r w:rsidRPr="00EB6EED">
        <w:rPr>
          <w:b w:val="0"/>
          <w:color w:val="0D0D0D"/>
          <w:sz w:val="28"/>
          <w:szCs w:val="28"/>
        </w:rPr>
        <w:t xml:space="preserve">), что соответствует требованиям ст.142.1 Бюджетного кодекса РФ. </w:t>
      </w:r>
    </w:p>
    <w:p w:rsidR="004B1129" w:rsidRDefault="004B1129" w:rsidP="004B1129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 xml:space="preserve">В 2020 году дотация на выравнивание бюджетной обеспеченности поселениям из областного бюджета составила 8637,8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и в 2021 году – 9373,7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4B1129" w:rsidRDefault="004B1129" w:rsidP="004B1129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Общего объёма дотации на выравнивание бюджетной обеспеченности поселений подлежащий распределению в 2020-2021 годах определен следующим образом:</w:t>
      </w:r>
    </w:p>
    <w:p w:rsidR="004B1129" w:rsidRDefault="004B1129" w:rsidP="004B1129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 w:rsidRPr="00A17460">
              <w:t>Наименование</w:t>
            </w:r>
            <w:r>
              <w:t xml:space="preserve"> показателя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 w:rsidRPr="00A17460">
              <w:t>2020 год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 w:rsidRPr="00A17460">
              <w:t>2021 год</w:t>
            </w:r>
          </w:p>
        </w:tc>
      </w:tr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Налоговые доходы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806980,2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828980,8</w:t>
            </w:r>
          </w:p>
        </w:tc>
      </w:tr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% формирования дотации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7,5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7,5</w:t>
            </w:r>
          </w:p>
        </w:tc>
      </w:tr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Объём Дотации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60523,5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62173,6</w:t>
            </w:r>
          </w:p>
        </w:tc>
      </w:tr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lastRenderedPageBreak/>
              <w:t xml:space="preserve">Нераспределённый объём МБТ из бюджета МО на оказание </w:t>
            </w:r>
            <w:proofErr w:type="spellStart"/>
            <w:r>
              <w:t>фин.поддержки</w:t>
            </w:r>
            <w:proofErr w:type="spellEnd"/>
            <w:r>
              <w:t xml:space="preserve"> поселений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8000,00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B1129" w:rsidRPr="00A17460" w:rsidRDefault="004B1129" w:rsidP="009F2BE7">
            <w:pPr>
              <w:tabs>
                <w:tab w:val="left" w:leader="underscore" w:pos="0"/>
              </w:tabs>
              <w:jc w:val="center"/>
            </w:pPr>
          </w:p>
        </w:tc>
      </w:tr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Распределённый объём иных МБТ поселениям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Default="004B1129" w:rsidP="009F2BE7">
            <w:pPr>
              <w:tabs>
                <w:tab w:val="left" w:leader="underscore" w:pos="0"/>
              </w:tabs>
              <w:jc w:val="center"/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4B1129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5962,1</w:t>
            </w:r>
          </w:p>
        </w:tc>
      </w:tr>
      <w:tr w:rsidR="004B1129" w:rsidRPr="00A17460" w:rsidTr="009F2BE7">
        <w:trPr>
          <w:jc w:val="center"/>
        </w:trPr>
        <w:tc>
          <w:tcPr>
            <w:tcW w:w="3191" w:type="dxa"/>
            <w:shd w:val="clear" w:color="auto" w:fill="auto"/>
            <w:vAlign w:val="center"/>
          </w:tcPr>
          <w:p w:rsidR="004B1129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Объём Дотации к распределению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B1129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52523,5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4B1129" w:rsidRDefault="004B1129" w:rsidP="009F2BE7">
            <w:pPr>
              <w:tabs>
                <w:tab w:val="left" w:leader="underscore" w:pos="0"/>
              </w:tabs>
              <w:jc w:val="center"/>
            </w:pPr>
            <w:r>
              <w:t>56211,5</w:t>
            </w:r>
          </w:p>
        </w:tc>
      </w:tr>
    </w:tbl>
    <w:p w:rsidR="004B1129" w:rsidRDefault="004B1129" w:rsidP="004B1129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1129" w:rsidRDefault="004B1129" w:rsidP="004B1129">
      <w:pPr>
        <w:shd w:val="clear" w:color="auto" w:fill="FFFFFF"/>
        <w:tabs>
          <w:tab w:val="left" w:leader="underscore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Ревизионная комиссия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отмечает, что Финансовым управлением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</w:t>
      </w:r>
      <w:r w:rsidRPr="00A1490C">
        <w:rPr>
          <w:b/>
          <w:sz w:val="28"/>
          <w:szCs w:val="28"/>
        </w:rPr>
        <w:t>не представлен (отсутствует)</w:t>
      </w:r>
      <w:r>
        <w:rPr>
          <w:sz w:val="28"/>
          <w:szCs w:val="28"/>
        </w:rPr>
        <w:t xml:space="preserve"> нормативно-правовой акт определяющий порядок определения нераспределенного объёма иных межбюджетных трансфертов из бюджета муниципального образования на оказание финансовой поддержки поселениям.</w:t>
      </w:r>
    </w:p>
    <w:p w:rsidR="004B1129" w:rsidRDefault="004B1129" w:rsidP="004B1129">
      <w:pPr>
        <w:shd w:val="clear" w:color="auto" w:fill="FFFFFF"/>
        <w:tabs>
          <w:tab w:val="left" w:leader="underscore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4B1129" w:rsidRDefault="004B1129" w:rsidP="004B1129">
      <w:pPr>
        <w:shd w:val="clear" w:color="auto" w:fill="FFFFFF"/>
        <w:tabs>
          <w:tab w:val="left" w:pos="259"/>
          <w:tab w:val="left" w:pos="851"/>
          <w:tab w:val="left" w:leader="underscore" w:pos="10099"/>
        </w:tabs>
        <w:spacing w:line="298" w:lineRule="exact"/>
        <w:ind w:right="2" w:firstLine="567"/>
        <w:jc w:val="both"/>
        <w:rPr>
          <w:bCs/>
          <w:sz w:val="28"/>
          <w:szCs w:val="28"/>
        </w:rPr>
      </w:pPr>
    </w:p>
    <w:sectPr w:rsidR="004B1129" w:rsidSect="004B112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1051"/>
    <w:multiLevelType w:val="hybridMultilevel"/>
    <w:tmpl w:val="C0DA0842"/>
    <w:lvl w:ilvl="0" w:tplc="79C4E6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E907C56"/>
    <w:multiLevelType w:val="hybridMultilevel"/>
    <w:tmpl w:val="92681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4394"/>
    <w:multiLevelType w:val="hybridMultilevel"/>
    <w:tmpl w:val="A664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94D"/>
    <w:rsid w:val="00052FCE"/>
    <w:rsid w:val="000C6523"/>
    <w:rsid w:val="00103607"/>
    <w:rsid w:val="00114ACF"/>
    <w:rsid w:val="00163C12"/>
    <w:rsid w:val="001C6BA7"/>
    <w:rsid w:val="001F655D"/>
    <w:rsid w:val="002112C1"/>
    <w:rsid w:val="00231DC9"/>
    <w:rsid w:val="00272E03"/>
    <w:rsid w:val="0028497B"/>
    <w:rsid w:val="002B6934"/>
    <w:rsid w:val="00327A05"/>
    <w:rsid w:val="00397202"/>
    <w:rsid w:val="004116CB"/>
    <w:rsid w:val="00412A5A"/>
    <w:rsid w:val="0047285A"/>
    <w:rsid w:val="00487B5D"/>
    <w:rsid w:val="004A799D"/>
    <w:rsid w:val="004B1129"/>
    <w:rsid w:val="004F6FE8"/>
    <w:rsid w:val="00535F59"/>
    <w:rsid w:val="00553A9A"/>
    <w:rsid w:val="00570418"/>
    <w:rsid w:val="00585008"/>
    <w:rsid w:val="005C6BDB"/>
    <w:rsid w:val="005D25FB"/>
    <w:rsid w:val="00622875"/>
    <w:rsid w:val="00632985"/>
    <w:rsid w:val="0063669E"/>
    <w:rsid w:val="00651D49"/>
    <w:rsid w:val="0066154C"/>
    <w:rsid w:val="00661F9A"/>
    <w:rsid w:val="00680C08"/>
    <w:rsid w:val="006907DE"/>
    <w:rsid w:val="007A17A8"/>
    <w:rsid w:val="007A7F01"/>
    <w:rsid w:val="007D09CC"/>
    <w:rsid w:val="007D1549"/>
    <w:rsid w:val="007E4152"/>
    <w:rsid w:val="0088269B"/>
    <w:rsid w:val="008D4773"/>
    <w:rsid w:val="009463B6"/>
    <w:rsid w:val="00980DB0"/>
    <w:rsid w:val="009B12E2"/>
    <w:rsid w:val="00A1417D"/>
    <w:rsid w:val="00A23C98"/>
    <w:rsid w:val="00A36BF5"/>
    <w:rsid w:val="00A7221F"/>
    <w:rsid w:val="00AC0061"/>
    <w:rsid w:val="00AC094D"/>
    <w:rsid w:val="00AC14D4"/>
    <w:rsid w:val="00AC57C8"/>
    <w:rsid w:val="00BA056A"/>
    <w:rsid w:val="00BD12FA"/>
    <w:rsid w:val="00BE7259"/>
    <w:rsid w:val="00BF63DE"/>
    <w:rsid w:val="00C518B2"/>
    <w:rsid w:val="00C5457F"/>
    <w:rsid w:val="00C701D4"/>
    <w:rsid w:val="00CA235F"/>
    <w:rsid w:val="00CB5D01"/>
    <w:rsid w:val="00CE1225"/>
    <w:rsid w:val="00DC7845"/>
    <w:rsid w:val="00DE73AE"/>
    <w:rsid w:val="00E26470"/>
    <w:rsid w:val="00E3147D"/>
    <w:rsid w:val="00E76980"/>
    <w:rsid w:val="00E836E5"/>
    <w:rsid w:val="00F31CF9"/>
    <w:rsid w:val="00F43828"/>
    <w:rsid w:val="00F77901"/>
    <w:rsid w:val="00FF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243E"/>
  <w15:docId w15:val="{E40C702E-79D5-4CA5-9BBE-3894E614B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link w:val="a5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  <w:style w:type="paragraph" w:customStyle="1" w:styleId="Standard">
    <w:name w:val="Standard"/>
    <w:rsid w:val="00C518B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a6">
    <w:name w:val="Hyperlink"/>
    <w:basedOn w:val="a0"/>
    <w:unhideWhenUsed/>
    <w:rsid w:val="00C5457F"/>
    <w:rPr>
      <w:color w:val="0000FF"/>
      <w:u w:val="single"/>
    </w:rPr>
  </w:style>
  <w:style w:type="paragraph" w:styleId="a7">
    <w:name w:val="Body Text"/>
    <w:basedOn w:val="a"/>
    <w:link w:val="a8"/>
    <w:rsid w:val="00C5457F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rsid w:val="00C5457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11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65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C57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rsid w:val="00AC57C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122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1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4B11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4B11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11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occaption">
    <w:name w:val="doccaption"/>
    <w:rsid w:val="004B1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drf.cntd.ru/document/5746446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61B55-D707-447F-9A65-3AF50636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Ревизионная комиссия</cp:lastModifiedBy>
  <cp:revision>4</cp:revision>
  <dcterms:created xsi:type="dcterms:W3CDTF">2022-01-10T07:21:00Z</dcterms:created>
  <dcterms:modified xsi:type="dcterms:W3CDTF">2022-06-17T03:00:00Z</dcterms:modified>
</cp:coreProperties>
</file>