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52" w:rsidRDefault="003D3C8A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:rsidR="0045630D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</w:t>
      </w:r>
      <w:r w:rsidR="00EB5DCC">
        <w:rPr>
          <w:b/>
          <w:sz w:val="28"/>
          <w:szCs w:val="28"/>
        </w:rPr>
        <w:t xml:space="preserve">Кропоткинского </w:t>
      </w:r>
      <w:r w:rsidR="00BE42A7">
        <w:rPr>
          <w:b/>
          <w:sz w:val="28"/>
          <w:szCs w:val="28"/>
        </w:rPr>
        <w:t>городс</w:t>
      </w:r>
      <w:r w:rsidR="005437DF">
        <w:rPr>
          <w:b/>
          <w:sz w:val="28"/>
          <w:szCs w:val="28"/>
        </w:rPr>
        <w:t xml:space="preserve">кого поселения </w:t>
      </w:r>
      <w:r w:rsidR="0045630D">
        <w:rPr>
          <w:b/>
          <w:sz w:val="28"/>
          <w:szCs w:val="28"/>
        </w:rPr>
        <w:t xml:space="preserve"> </w:t>
      </w:r>
    </w:p>
    <w:p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«О внесении изменений и дополнений в решение Думы </w:t>
      </w:r>
      <w:r w:rsidR="00EB5DCC">
        <w:rPr>
          <w:b/>
          <w:sz w:val="28"/>
          <w:szCs w:val="28"/>
        </w:rPr>
        <w:t xml:space="preserve">Кропоткинского </w:t>
      </w:r>
      <w:r w:rsidR="00BE42A7">
        <w:rPr>
          <w:b/>
          <w:sz w:val="28"/>
          <w:szCs w:val="28"/>
        </w:rPr>
        <w:t>городского</w:t>
      </w:r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поселения </w:t>
      </w:r>
      <w:r w:rsidRPr="005B3011">
        <w:rPr>
          <w:b/>
          <w:sz w:val="28"/>
          <w:szCs w:val="28"/>
        </w:rPr>
        <w:t xml:space="preserve">от </w:t>
      </w:r>
      <w:r w:rsidR="00EB5DCC">
        <w:rPr>
          <w:b/>
          <w:sz w:val="28"/>
          <w:szCs w:val="28"/>
        </w:rPr>
        <w:t>22.12.2022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№</w:t>
      </w:r>
      <w:r w:rsidR="00EB5DCC">
        <w:rPr>
          <w:b/>
          <w:sz w:val="28"/>
          <w:szCs w:val="28"/>
        </w:rPr>
        <w:t>54</w:t>
      </w:r>
      <w:r w:rsidRPr="005B3011">
        <w:rPr>
          <w:b/>
          <w:sz w:val="28"/>
          <w:szCs w:val="28"/>
        </w:rPr>
        <w:t xml:space="preserve"> «О бюджете</w:t>
      </w:r>
    </w:p>
    <w:p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 </w:t>
      </w:r>
      <w:r w:rsidR="00EB5DCC">
        <w:rPr>
          <w:b/>
          <w:sz w:val="28"/>
          <w:szCs w:val="28"/>
        </w:rPr>
        <w:t xml:space="preserve">Кропоткинского </w:t>
      </w:r>
      <w:r w:rsidRPr="005B3011">
        <w:rPr>
          <w:b/>
          <w:sz w:val="28"/>
          <w:szCs w:val="28"/>
        </w:rPr>
        <w:t>му</w:t>
      </w:r>
      <w:r w:rsidR="00BE42A7">
        <w:rPr>
          <w:b/>
          <w:sz w:val="28"/>
          <w:szCs w:val="28"/>
        </w:rPr>
        <w:t>ниципального образования на 2023</w:t>
      </w:r>
      <w:r w:rsidRPr="005B3011">
        <w:rPr>
          <w:b/>
          <w:sz w:val="28"/>
          <w:szCs w:val="28"/>
        </w:rPr>
        <w:t xml:space="preserve"> год и </w:t>
      </w:r>
    </w:p>
    <w:p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>плановый период 202</w:t>
      </w:r>
      <w:r w:rsidR="00BE42A7">
        <w:rPr>
          <w:b/>
          <w:sz w:val="28"/>
          <w:szCs w:val="28"/>
        </w:rPr>
        <w:t>4</w:t>
      </w:r>
      <w:r w:rsidR="00EB5DCC">
        <w:rPr>
          <w:b/>
          <w:sz w:val="28"/>
          <w:szCs w:val="28"/>
        </w:rPr>
        <w:t xml:space="preserve"> и </w:t>
      </w:r>
      <w:r w:rsidRPr="005B3011">
        <w:rPr>
          <w:b/>
          <w:sz w:val="28"/>
          <w:szCs w:val="28"/>
        </w:rPr>
        <w:t>202</w:t>
      </w:r>
      <w:r w:rsidR="00BE42A7">
        <w:rPr>
          <w:b/>
          <w:sz w:val="28"/>
          <w:szCs w:val="28"/>
        </w:rPr>
        <w:t>5</w:t>
      </w:r>
      <w:r w:rsidRPr="005B3011">
        <w:rPr>
          <w:b/>
          <w:sz w:val="28"/>
          <w:szCs w:val="28"/>
        </w:rPr>
        <w:t xml:space="preserve"> годов»</w:t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BE42A7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r w:rsidR="00EB5DCC">
        <w:rPr>
          <w:sz w:val="28"/>
          <w:szCs w:val="28"/>
        </w:rPr>
        <w:t xml:space="preserve">Кропоткинского </w:t>
      </w:r>
      <w:r w:rsidR="00BE42A7">
        <w:rPr>
          <w:sz w:val="28"/>
          <w:szCs w:val="28"/>
        </w:rPr>
        <w:t>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и дополнений в решение Думы </w:t>
      </w:r>
      <w:r w:rsidR="00EB5DCC">
        <w:rPr>
          <w:sz w:val="28"/>
          <w:szCs w:val="28"/>
        </w:rPr>
        <w:t xml:space="preserve">Кропоткинского </w:t>
      </w:r>
      <w:r w:rsidR="00BE42A7">
        <w:rPr>
          <w:sz w:val="28"/>
          <w:szCs w:val="28"/>
        </w:rPr>
        <w:t xml:space="preserve">городского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EB5DCC">
        <w:rPr>
          <w:sz w:val="28"/>
          <w:szCs w:val="28"/>
        </w:rPr>
        <w:t>22</w:t>
      </w:r>
      <w:r w:rsidR="005437DF">
        <w:rPr>
          <w:sz w:val="28"/>
          <w:szCs w:val="28"/>
        </w:rPr>
        <w:t>.12.202</w:t>
      </w:r>
      <w:r w:rsidR="00BE42A7">
        <w:rPr>
          <w:sz w:val="28"/>
          <w:szCs w:val="28"/>
        </w:rPr>
        <w:t>2</w:t>
      </w:r>
      <w:r w:rsidR="005B3011" w:rsidRPr="005B3011">
        <w:rPr>
          <w:sz w:val="28"/>
          <w:szCs w:val="28"/>
        </w:rPr>
        <w:t xml:space="preserve"> №</w:t>
      </w:r>
      <w:r w:rsidR="00EB5DCC">
        <w:rPr>
          <w:sz w:val="28"/>
          <w:szCs w:val="28"/>
        </w:rPr>
        <w:t>54</w:t>
      </w:r>
      <w:r w:rsidR="005B3011" w:rsidRPr="005B3011">
        <w:rPr>
          <w:sz w:val="28"/>
          <w:szCs w:val="28"/>
        </w:rPr>
        <w:t xml:space="preserve"> «О бюджете </w:t>
      </w:r>
      <w:r w:rsidR="00EB5DCC">
        <w:rPr>
          <w:sz w:val="28"/>
          <w:szCs w:val="28"/>
        </w:rPr>
        <w:t xml:space="preserve">Кропоткинского </w:t>
      </w:r>
      <w:r w:rsidR="005B3011" w:rsidRPr="005B3011">
        <w:rPr>
          <w:sz w:val="28"/>
          <w:szCs w:val="28"/>
        </w:rPr>
        <w:t>му</w:t>
      </w:r>
      <w:r w:rsidR="00BE42A7">
        <w:rPr>
          <w:sz w:val="28"/>
          <w:szCs w:val="28"/>
        </w:rPr>
        <w:t>ниципального образования на 2023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BE42A7">
        <w:rPr>
          <w:sz w:val="28"/>
          <w:szCs w:val="28"/>
        </w:rPr>
        <w:t>4</w:t>
      </w:r>
      <w:r w:rsidR="00EB5DCC">
        <w:rPr>
          <w:sz w:val="28"/>
          <w:szCs w:val="28"/>
        </w:rPr>
        <w:t xml:space="preserve"> и </w:t>
      </w:r>
      <w:r w:rsidR="005B3011" w:rsidRPr="005B3011">
        <w:rPr>
          <w:sz w:val="28"/>
          <w:szCs w:val="28"/>
        </w:rPr>
        <w:t>202</w:t>
      </w:r>
      <w:r w:rsidR="00BE42A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r w:rsidR="00EB5DCC">
        <w:rPr>
          <w:sz w:val="28"/>
          <w:szCs w:val="28"/>
        </w:rPr>
        <w:t xml:space="preserve">Кропоткинского </w:t>
      </w:r>
      <w:r w:rsidR="00BE42A7">
        <w:rPr>
          <w:sz w:val="28"/>
          <w:szCs w:val="28"/>
        </w:rPr>
        <w:t>городского</w:t>
      </w:r>
      <w:r w:rsidR="005437DF">
        <w:rPr>
          <w:sz w:val="28"/>
          <w:szCs w:val="28"/>
        </w:rPr>
        <w:t xml:space="preserve">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r w:rsidR="00EB5DCC">
        <w:rPr>
          <w:sz w:val="28"/>
          <w:szCs w:val="28"/>
        </w:rPr>
        <w:t xml:space="preserve">Кропоткинского </w:t>
      </w:r>
      <w:r w:rsidR="00BE42A7">
        <w:rPr>
          <w:sz w:val="28"/>
          <w:szCs w:val="28"/>
        </w:rPr>
        <w:t xml:space="preserve">городского 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и дополнений в решение Думы </w:t>
      </w:r>
      <w:r w:rsidR="00EB5DCC">
        <w:rPr>
          <w:sz w:val="28"/>
          <w:szCs w:val="28"/>
        </w:rPr>
        <w:t xml:space="preserve">Кропоткинского </w:t>
      </w:r>
      <w:r w:rsidR="00BE42A7">
        <w:rPr>
          <w:sz w:val="28"/>
          <w:szCs w:val="28"/>
        </w:rPr>
        <w:t xml:space="preserve">городского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EB5DCC">
        <w:rPr>
          <w:sz w:val="28"/>
          <w:szCs w:val="28"/>
        </w:rPr>
        <w:t>22</w:t>
      </w:r>
      <w:r w:rsidR="005437DF">
        <w:rPr>
          <w:sz w:val="28"/>
          <w:szCs w:val="28"/>
        </w:rPr>
        <w:t>.12.202</w:t>
      </w:r>
      <w:r w:rsidR="00BE42A7">
        <w:rPr>
          <w:sz w:val="28"/>
          <w:szCs w:val="28"/>
        </w:rPr>
        <w:t>2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EB5DCC">
        <w:rPr>
          <w:sz w:val="28"/>
          <w:szCs w:val="28"/>
        </w:rPr>
        <w:t>54</w:t>
      </w:r>
      <w:r w:rsidR="0045630D" w:rsidRPr="005B3011">
        <w:rPr>
          <w:sz w:val="28"/>
          <w:szCs w:val="28"/>
        </w:rPr>
        <w:t xml:space="preserve"> «О бюджете </w:t>
      </w:r>
      <w:r w:rsidR="00EB5DCC">
        <w:rPr>
          <w:sz w:val="28"/>
          <w:szCs w:val="28"/>
        </w:rPr>
        <w:t xml:space="preserve">Кропоткинского </w:t>
      </w:r>
      <w:r w:rsidR="0045630D" w:rsidRPr="005B3011">
        <w:rPr>
          <w:sz w:val="28"/>
          <w:szCs w:val="28"/>
        </w:rPr>
        <w:t>муниципального образования на 202</w:t>
      </w:r>
      <w:r w:rsidR="00EB5DCC">
        <w:rPr>
          <w:sz w:val="28"/>
          <w:szCs w:val="28"/>
        </w:rPr>
        <w:t>3</w:t>
      </w:r>
      <w:r w:rsidR="0045630D" w:rsidRPr="005B3011">
        <w:rPr>
          <w:sz w:val="28"/>
          <w:szCs w:val="28"/>
        </w:rPr>
        <w:t xml:space="preserve"> год и плановый период 202</w:t>
      </w:r>
      <w:r w:rsidR="00EB5DCC">
        <w:rPr>
          <w:sz w:val="28"/>
          <w:szCs w:val="28"/>
        </w:rPr>
        <w:t xml:space="preserve">4 и </w:t>
      </w:r>
      <w:r w:rsidR="0045630D" w:rsidRPr="005B3011">
        <w:rPr>
          <w:sz w:val="28"/>
          <w:szCs w:val="28"/>
        </w:rPr>
        <w:t>202</w:t>
      </w:r>
      <w:r w:rsidR="00EB5DCC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часть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8F2D9F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</w:t>
      </w:r>
      <w:r w:rsidR="00EB5DCC">
        <w:rPr>
          <w:sz w:val="28"/>
          <w:szCs w:val="28"/>
        </w:rPr>
        <w:t>2</w:t>
      </w:r>
      <w:r w:rsidR="0045630D">
        <w:rPr>
          <w:sz w:val="28"/>
          <w:szCs w:val="28"/>
        </w:rPr>
        <w:t xml:space="preserve"> от </w:t>
      </w:r>
      <w:r w:rsidR="00EB5DCC">
        <w:rPr>
          <w:sz w:val="28"/>
          <w:szCs w:val="28"/>
        </w:rPr>
        <w:t>12.12.</w:t>
      </w:r>
      <w:r w:rsidR="008F2D9F">
        <w:rPr>
          <w:sz w:val="28"/>
          <w:szCs w:val="28"/>
        </w:rPr>
        <w:t>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EB5DCC">
        <w:rPr>
          <w:bCs/>
          <w:spacing w:val="-1"/>
          <w:sz w:val="28"/>
          <w:szCs w:val="28"/>
        </w:rPr>
        <w:t>10</w:t>
      </w:r>
      <w:r w:rsidR="008F2D9F">
        <w:rPr>
          <w:bCs/>
          <w:spacing w:val="-1"/>
          <w:sz w:val="28"/>
          <w:szCs w:val="28"/>
        </w:rPr>
        <w:t>.0</w:t>
      </w:r>
      <w:r w:rsidR="00EB5DCC">
        <w:rPr>
          <w:bCs/>
          <w:spacing w:val="-1"/>
          <w:sz w:val="28"/>
          <w:szCs w:val="28"/>
        </w:rPr>
        <w:t>4</w:t>
      </w:r>
      <w:r w:rsidR="008F2D9F">
        <w:rPr>
          <w:bCs/>
          <w:spacing w:val="-1"/>
          <w:sz w:val="28"/>
          <w:szCs w:val="28"/>
        </w:rPr>
        <w:t>.2023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EB5DCC">
        <w:rPr>
          <w:bCs/>
          <w:spacing w:val="-1"/>
          <w:sz w:val="28"/>
          <w:szCs w:val="28"/>
        </w:rPr>
        <w:t>46</w:t>
      </w:r>
      <w:r w:rsidR="0045630D">
        <w:rPr>
          <w:bCs/>
          <w:spacing w:val="-1"/>
          <w:sz w:val="28"/>
          <w:szCs w:val="28"/>
        </w:rPr>
        <w:t>-п</w:t>
      </w:r>
      <w:r w:rsidRPr="0072745E">
        <w:rPr>
          <w:bCs/>
          <w:spacing w:val="-1"/>
          <w:sz w:val="28"/>
          <w:szCs w:val="28"/>
        </w:rPr>
        <w:t>.</w:t>
      </w:r>
    </w:p>
    <w:p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proofErr w:type="gramStart"/>
      <w:r w:rsidR="00EB5DCC">
        <w:rPr>
          <w:sz w:val="28"/>
          <w:szCs w:val="28"/>
        </w:rPr>
        <w:t xml:space="preserve">Кропоткинского </w:t>
      </w:r>
      <w:r w:rsidR="008F2D9F">
        <w:rPr>
          <w:sz w:val="28"/>
          <w:szCs w:val="28"/>
        </w:rPr>
        <w:t xml:space="preserve"> городского</w:t>
      </w:r>
      <w:proofErr w:type="gramEnd"/>
      <w:r w:rsidR="008F2D9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r w:rsidR="00073235">
        <w:rPr>
          <w:sz w:val="28"/>
          <w:szCs w:val="28"/>
        </w:rPr>
        <w:t xml:space="preserve">Кропоткинского </w:t>
      </w:r>
      <w:r w:rsidR="008F2D9F">
        <w:rPr>
          <w:sz w:val="28"/>
          <w:szCs w:val="28"/>
        </w:rPr>
        <w:t xml:space="preserve">городского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от </w:t>
      </w:r>
      <w:r w:rsidR="00073235">
        <w:rPr>
          <w:sz w:val="28"/>
          <w:szCs w:val="28"/>
        </w:rPr>
        <w:t>22</w:t>
      </w:r>
      <w:r w:rsidR="008F2D9F">
        <w:rPr>
          <w:sz w:val="28"/>
          <w:szCs w:val="28"/>
        </w:rPr>
        <w:t>.12.2022</w:t>
      </w:r>
      <w:r w:rsidR="005437DF">
        <w:rPr>
          <w:sz w:val="28"/>
          <w:szCs w:val="28"/>
        </w:rPr>
        <w:t xml:space="preserve"> №</w:t>
      </w:r>
      <w:r w:rsidR="00073235">
        <w:rPr>
          <w:sz w:val="28"/>
          <w:szCs w:val="28"/>
        </w:rPr>
        <w:t>54</w:t>
      </w:r>
      <w:r w:rsidR="00390CC7" w:rsidRPr="005B3011">
        <w:rPr>
          <w:sz w:val="28"/>
          <w:szCs w:val="28"/>
        </w:rPr>
        <w:t xml:space="preserve"> «О бюджете </w:t>
      </w:r>
      <w:r w:rsidR="00073235">
        <w:rPr>
          <w:sz w:val="28"/>
          <w:szCs w:val="28"/>
        </w:rPr>
        <w:t xml:space="preserve">Кропоткинского </w:t>
      </w:r>
      <w:r w:rsidR="00390CC7" w:rsidRPr="005B3011">
        <w:rPr>
          <w:sz w:val="28"/>
          <w:szCs w:val="28"/>
        </w:rPr>
        <w:t>муниципального образования на 202</w:t>
      </w:r>
      <w:r w:rsidR="008F2D9F">
        <w:rPr>
          <w:sz w:val="28"/>
          <w:szCs w:val="28"/>
        </w:rPr>
        <w:t>3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8F2D9F">
        <w:rPr>
          <w:sz w:val="28"/>
          <w:szCs w:val="28"/>
        </w:rPr>
        <w:t>4</w:t>
      </w:r>
      <w:r w:rsidR="00073235">
        <w:rPr>
          <w:sz w:val="28"/>
          <w:szCs w:val="28"/>
        </w:rPr>
        <w:t xml:space="preserve"> и </w:t>
      </w:r>
      <w:r w:rsidR="00390CC7" w:rsidRPr="005B3011">
        <w:rPr>
          <w:sz w:val="28"/>
          <w:szCs w:val="28"/>
        </w:rPr>
        <w:t>202</w:t>
      </w:r>
      <w:r w:rsidR="008F2D9F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r w:rsidR="00073235">
        <w:rPr>
          <w:sz w:val="28"/>
          <w:szCs w:val="28"/>
        </w:rPr>
        <w:t xml:space="preserve">Кропоткинского </w:t>
      </w:r>
      <w:r w:rsidR="008F2D9F">
        <w:rPr>
          <w:sz w:val="28"/>
          <w:szCs w:val="28"/>
        </w:rPr>
        <w:t xml:space="preserve">городского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r w:rsidR="00073235">
        <w:rPr>
          <w:sz w:val="28"/>
          <w:szCs w:val="28"/>
        </w:rPr>
        <w:t xml:space="preserve">Кропоткинского </w:t>
      </w:r>
      <w:r w:rsidR="008F2D9F">
        <w:rPr>
          <w:sz w:val="28"/>
          <w:szCs w:val="28"/>
        </w:rPr>
        <w:t xml:space="preserve">городского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8F2D9F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статьей 184.1 БК РФ основные характеристики местного бюджета на 202</w:t>
      </w:r>
      <w:r w:rsidR="008F2D9F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proofErr w:type="gramStart"/>
      <w:r w:rsidR="00073235">
        <w:rPr>
          <w:sz w:val="28"/>
          <w:szCs w:val="28"/>
        </w:rPr>
        <w:t xml:space="preserve">Кропоткинского </w:t>
      </w:r>
      <w:r w:rsidR="008F2D9F">
        <w:rPr>
          <w:sz w:val="28"/>
          <w:szCs w:val="28"/>
        </w:rPr>
        <w:t xml:space="preserve"> городского</w:t>
      </w:r>
      <w:proofErr w:type="gramEnd"/>
      <w:r w:rsidR="008F2D9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073235">
        <w:rPr>
          <w:sz w:val="28"/>
          <w:szCs w:val="28"/>
        </w:rPr>
        <w:t>22</w:t>
      </w:r>
      <w:r w:rsidR="008F2D9F">
        <w:rPr>
          <w:sz w:val="28"/>
          <w:szCs w:val="28"/>
        </w:rPr>
        <w:t>.12.2022</w:t>
      </w:r>
      <w:r w:rsidRPr="008F7B10">
        <w:rPr>
          <w:sz w:val="28"/>
          <w:szCs w:val="28"/>
        </w:rPr>
        <w:t xml:space="preserve"> №</w:t>
      </w:r>
      <w:r w:rsidR="00073235">
        <w:rPr>
          <w:sz w:val="28"/>
          <w:szCs w:val="28"/>
        </w:rPr>
        <w:t>54</w:t>
      </w:r>
      <w:r w:rsidRPr="008F7B10">
        <w:rPr>
          <w:sz w:val="28"/>
          <w:szCs w:val="28"/>
        </w:rPr>
        <w:t xml:space="preserve"> «О бюджете </w:t>
      </w:r>
      <w:r w:rsidR="00073235">
        <w:rPr>
          <w:sz w:val="28"/>
          <w:szCs w:val="28"/>
        </w:rPr>
        <w:t xml:space="preserve">Кропоткинского </w:t>
      </w:r>
      <w:r w:rsidR="008F2D9F">
        <w:rPr>
          <w:sz w:val="28"/>
          <w:szCs w:val="28"/>
        </w:rPr>
        <w:t xml:space="preserve"> 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8F2D9F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8F2D9F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8F2D9F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484894">
        <w:rPr>
          <w:sz w:val="28"/>
          <w:szCs w:val="28"/>
        </w:rPr>
        <w:t>22</w:t>
      </w:r>
      <w:r w:rsidR="008F2D9F">
        <w:rPr>
          <w:sz w:val="28"/>
          <w:szCs w:val="28"/>
        </w:rPr>
        <w:t>.12.2022</w:t>
      </w:r>
      <w:r>
        <w:rPr>
          <w:sz w:val="28"/>
          <w:szCs w:val="28"/>
        </w:rPr>
        <w:t xml:space="preserve"> № </w:t>
      </w:r>
      <w:r w:rsidR="00484894">
        <w:rPr>
          <w:sz w:val="28"/>
          <w:szCs w:val="28"/>
        </w:rPr>
        <w:t>54</w:t>
      </w:r>
      <w:r>
        <w:rPr>
          <w:sz w:val="28"/>
          <w:szCs w:val="28"/>
        </w:rPr>
        <w:t>).</w:t>
      </w:r>
    </w:p>
    <w:p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8F2D9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r w:rsidR="00073235">
        <w:rPr>
          <w:sz w:val="28"/>
          <w:szCs w:val="28"/>
        </w:rPr>
        <w:t xml:space="preserve">Кропоткинского </w:t>
      </w:r>
      <w:r w:rsidRPr="00390CC7">
        <w:rPr>
          <w:sz w:val="28"/>
          <w:szCs w:val="28"/>
        </w:rPr>
        <w:t xml:space="preserve">МО в сумме </w:t>
      </w:r>
      <w:r w:rsidR="00073235">
        <w:rPr>
          <w:sz w:val="28"/>
          <w:szCs w:val="28"/>
        </w:rPr>
        <w:t>103859,9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073235">
        <w:rPr>
          <w:sz w:val="28"/>
          <w:szCs w:val="28"/>
        </w:rPr>
        <w:t>707,0</w:t>
      </w:r>
      <w:r w:rsidRPr="00390CC7">
        <w:rPr>
          <w:sz w:val="28"/>
          <w:szCs w:val="28"/>
        </w:rPr>
        <w:t xml:space="preserve"> </w:t>
      </w:r>
      <w:proofErr w:type="spellStart"/>
      <w:proofErr w:type="gram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из них </w:t>
      </w:r>
    </w:p>
    <w:p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r w:rsidR="00073235">
        <w:rPr>
          <w:sz w:val="28"/>
          <w:szCs w:val="28"/>
        </w:rPr>
        <w:t xml:space="preserve">Кропоткинского </w:t>
      </w:r>
      <w:r w:rsidRPr="00390CC7">
        <w:rPr>
          <w:sz w:val="28"/>
          <w:szCs w:val="28"/>
        </w:rPr>
        <w:t xml:space="preserve">МО в сумме </w:t>
      </w:r>
      <w:r w:rsidR="00073235">
        <w:rPr>
          <w:sz w:val="28"/>
          <w:szCs w:val="28"/>
        </w:rPr>
        <w:t>142575,6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:rsidR="000016C0" w:rsidRPr="00390CC7" w:rsidRDefault="00390CC7" w:rsidP="000016C0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r w:rsidR="00073235">
        <w:rPr>
          <w:sz w:val="28"/>
          <w:szCs w:val="28"/>
        </w:rPr>
        <w:t xml:space="preserve">Кропоткинского </w:t>
      </w:r>
      <w:r w:rsidRPr="00390CC7">
        <w:rPr>
          <w:sz w:val="28"/>
          <w:szCs w:val="28"/>
        </w:rPr>
        <w:t xml:space="preserve">МО в сумме </w:t>
      </w:r>
      <w:r w:rsidR="00073235">
        <w:rPr>
          <w:sz w:val="28"/>
          <w:szCs w:val="28"/>
        </w:rPr>
        <w:t>38715,7</w:t>
      </w:r>
      <w:r w:rsidR="00306271">
        <w:rPr>
          <w:sz w:val="28"/>
          <w:szCs w:val="28"/>
        </w:rPr>
        <w:t xml:space="preserve"> </w:t>
      </w:r>
      <w:proofErr w:type="spellStart"/>
      <w:proofErr w:type="gram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или </w:t>
      </w:r>
      <w:r w:rsidR="00073235">
        <w:rPr>
          <w:sz w:val="28"/>
          <w:szCs w:val="28"/>
        </w:rPr>
        <w:t>38,2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r w:rsidR="00073235">
        <w:rPr>
          <w:sz w:val="28"/>
          <w:szCs w:val="28"/>
        </w:rPr>
        <w:t xml:space="preserve">Кропоткинского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  <w:r w:rsidR="000016C0">
        <w:rPr>
          <w:sz w:val="28"/>
          <w:szCs w:val="28"/>
        </w:rPr>
        <w:t xml:space="preserve"> </w:t>
      </w:r>
    </w:p>
    <w:p w:rsidR="000016C0" w:rsidRDefault="000016C0" w:rsidP="000016C0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изменения в бюджет вносились решением </w:t>
      </w:r>
      <w:r w:rsidRPr="008F7B10">
        <w:rPr>
          <w:sz w:val="28"/>
          <w:szCs w:val="28"/>
        </w:rPr>
        <w:t xml:space="preserve">Думы </w:t>
      </w:r>
      <w:r>
        <w:rPr>
          <w:sz w:val="28"/>
          <w:szCs w:val="28"/>
        </w:rPr>
        <w:t>Кропоткинского городского поселения о</w:t>
      </w:r>
      <w:r w:rsidRPr="008F7B10">
        <w:rPr>
          <w:sz w:val="28"/>
          <w:szCs w:val="28"/>
        </w:rPr>
        <w:t xml:space="preserve">т </w:t>
      </w:r>
      <w:r>
        <w:rPr>
          <w:sz w:val="28"/>
          <w:szCs w:val="28"/>
        </w:rPr>
        <w:t>27.01.2023</w:t>
      </w:r>
      <w:r w:rsidRPr="008F7B10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«О </w:t>
      </w:r>
      <w:r w:rsidR="003748B9">
        <w:rPr>
          <w:sz w:val="28"/>
          <w:szCs w:val="28"/>
        </w:rPr>
        <w:t>в</w:t>
      </w:r>
      <w:r>
        <w:rPr>
          <w:sz w:val="28"/>
          <w:szCs w:val="28"/>
        </w:rPr>
        <w:t xml:space="preserve">несении изменений в решение Думы Кропоткинского городского поселения от 22.12.2022 №54 «О </w:t>
      </w:r>
      <w:r w:rsidRPr="008F7B10">
        <w:rPr>
          <w:sz w:val="28"/>
          <w:szCs w:val="28"/>
        </w:rPr>
        <w:t xml:space="preserve">бюджете </w:t>
      </w:r>
      <w:r w:rsidR="003748B9">
        <w:rPr>
          <w:sz w:val="28"/>
          <w:szCs w:val="28"/>
        </w:rPr>
        <w:t xml:space="preserve">Кропоткинского </w:t>
      </w:r>
      <w:r w:rsidRPr="008F7B10">
        <w:rPr>
          <w:sz w:val="28"/>
          <w:szCs w:val="28"/>
        </w:rPr>
        <w:t>муниципального образования на 202</w:t>
      </w:r>
      <w:r w:rsidR="003748B9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3748B9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3748B9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0016C0" w:rsidRPr="00390CC7" w:rsidRDefault="000016C0" w:rsidP="00390CC7">
      <w:pPr>
        <w:jc w:val="both"/>
        <w:rPr>
          <w:sz w:val="28"/>
          <w:szCs w:val="28"/>
        </w:rPr>
      </w:pPr>
    </w:p>
    <w:p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BB43D5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(таблица).</w:t>
      </w: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="00AF5FC0">
        <w:rPr>
          <w:sz w:val="28"/>
          <w:szCs w:val="28"/>
        </w:rPr>
        <w:t xml:space="preserve">( </w:t>
      </w:r>
      <w:proofErr w:type="spellStart"/>
      <w:r w:rsidR="00AF5FC0">
        <w:rPr>
          <w:sz w:val="28"/>
          <w:szCs w:val="28"/>
        </w:rPr>
        <w:t>тыс</w:t>
      </w:r>
      <w:proofErr w:type="gramEnd"/>
      <w:r w:rsidR="00AF5FC0">
        <w:rPr>
          <w:sz w:val="28"/>
          <w:szCs w:val="28"/>
        </w:rPr>
        <w:t>.рублей</w:t>
      </w:r>
      <w:proofErr w:type="spellEnd"/>
      <w:r w:rsidR="00AF5FC0">
        <w:rPr>
          <w:sz w:val="28"/>
          <w:szCs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2597"/>
        <w:gridCol w:w="1253"/>
        <w:gridCol w:w="1304"/>
        <w:gridCol w:w="1372"/>
        <w:gridCol w:w="1067"/>
        <w:gridCol w:w="1211"/>
      </w:tblGrid>
      <w:tr w:rsidR="00564981" w:rsidTr="00564981">
        <w:trPr>
          <w:trHeight w:val="581"/>
        </w:trPr>
        <w:tc>
          <w:tcPr>
            <w:tcW w:w="540" w:type="dxa"/>
          </w:tcPr>
          <w:p w:rsidR="00564981" w:rsidRPr="00804739" w:rsidRDefault="00564981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597" w:type="dxa"/>
          </w:tcPr>
          <w:p w:rsidR="00564981" w:rsidRPr="00804739" w:rsidRDefault="00564981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253" w:type="dxa"/>
          </w:tcPr>
          <w:p w:rsidR="00564981" w:rsidRPr="00804739" w:rsidRDefault="00564981" w:rsidP="00BB43D5">
            <w:pPr>
              <w:pStyle w:val="aa"/>
              <w:jc w:val="both"/>
            </w:pPr>
            <w:r w:rsidRPr="00804739">
              <w:t xml:space="preserve">Решение </w:t>
            </w:r>
            <w:r>
              <w:t>от 19.12.2022</w:t>
            </w:r>
            <w:r w:rsidRPr="00804739">
              <w:t xml:space="preserve"> №</w:t>
            </w:r>
            <w:r>
              <w:t xml:space="preserve"> 22</w:t>
            </w:r>
          </w:p>
        </w:tc>
        <w:tc>
          <w:tcPr>
            <w:tcW w:w="1304" w:type="dxa"/>
          </w:tcPr>
          <w:p w:rsidR="00564981" w:rsidRDefault="00564981" w:rsidP="00564981">
            <w:pPr>
              <w:pStyle w:val="aa"/>
              <w:spacing w:after="0"/>
              <w:jc w:val="both"/>
            </w:pPr>
            <w:r>
              <w:t>Решение от</w:t>
            </w:r>
          </w:p>
          <w:p w:rsidR="00564981" w:rsidRPr="00804739" w:rsidRDefault="00564981" w:rsidP="00564981">
            <w:pPr>
              <w:pStyle w:val="aa"/>
              <w:spacing w:after="0"/>
              <w:jc w:val="both"/>
            </w:pPr>
            <w:r>
              <w:t xml:space="preserve">27.02.2023 №3 </w:t>
            </w:r>
          </w:p>
        </w:tc>
        <w:tc>
          <w:tcPr>
            <w:tcW w:w="1372" w:type="dxa"/>
          </w:tcPr>
          <w:p w:rsidR="00564981" w:rsidRPr="00804739" w:rsidRDefault="00564981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067" w:type="dxa"/>
          </w:tcPr>
          <w:p w:rsidR="00564981" w:rsidRPr="00804739" w:rsidRDefault="00564981" w:rsidP="00FB1BB5">
            <w:pPr>
              <w:pStyle w:val="aa"/>
              <w:jc w:val="both"/>
            </w:pPr>
            <w:r w:rsidRPr="00804739">
              <w:t xml:space="preserve">+(-) </w:t>
            </w:r>
          </w:p>
          <w:p w:rsidR="00564981" w:rsidRPr="00804739" w:rsidRDefault="00564981" w:rsidP="000016C0">
            <w:pPr>
              <w:pStyle w:val="aa"/>
              <w:jc w:val="both"/>
            </w:pPr>
            <w:r w:rsidRPr="00804739">
              <w:t>(гр.</w:t>
            </w:r>
            <w:r>
              <w:t>5</w:t>
            </w:r>
            <w:r w:rsidRPr="00804739">
              <w:t>-гр.</w:t>
            </w:r>
            <w:r>
              <w:t>4</w:t>
            </w:r>
            <w:r w:rsidRPr="00804739">
              <w:t>)</w:t>
            </w:r>
          </w:p>
        </w:tc>
        <w:tc>
          <w:tcPr>
            <w:tcW w:w="1211" w:type="dxa"/>
          </w:tcPr>
          <w:p w:rsidR="00564981" w:rsidRDefault="00564981" w:rsidP="00FB1BB5">
            <w:pPr>
              <w:pStyle w:val="aa"/>
              <w:jc w:val="both"/>
            </w:pPr>
            <w:r>
              <w:t>%</w:t>
            </w:r>
          </w:p>
          <w:p w:rsidR="00564981" w:rsidRPr="00804739" w:rsidRDefault="00564981" w:rsidP="00564981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>
              <w:t>6/</w:t>
            </w:r>
            <w:r w:rsidRPr="00804739">
              <w:t>гр.</w:t>
            </w:r>
            <w:r>
              <w:t>4</w:t>
            </w:r>
            <w:r w:rsidRPr="00804739">
              <w:t>)</w:t>
            </w:r>
          </w:p>
        </w:tc>
      </w:tr>
      <w:tr w:rsidR="00564981" w:rsidTr="00564981">
        <w:trPr>
          <w:trHeight w:val="278"/>
        </w:trPr>
        <w:tc>
          <w:tcPr>
            <w:tcW w:w="540" w:type="dxa"/>
          </w:tcPr>
          <w:p w:rsidR="00564981" w:rsidRPr="00804739" w:rsidRDefault="00564981" w:rsidP="00564981">
            <w:pPr>
              <w:pStyle w:val="aa"/>
              <w:spacing w:after="0"/>
              <w:jc w:val="center"/>
            </w:pPr>
            <w:r w:rsidRPr="00804739">
              <w:t>1</w:t>
            </w:r>
          </w:p>
        </w:tc>
        <w:tc>
          <w:tcPr>
            <w:tcW w:w="2597" w:type="dxa"/>
          </w:tcPr>
          <w:p w:rsidR="00564981" w:rsidRPr="00804739" w:rsidRDefault="00564981" w:rsidP="00564981">
            <w:pPr>
              <w:pStyle w:val="aa"/>
              <w:spacing w:after="0"/>
              <w:jc w:val="center"/>
            </w:pPr>
            <w:r w:rsidRPr="00804739">
              <w:t>2</w:t>
            </w:r>
          </w:p>
        </w:tc>
        <w:tc>
          <w:tcPr>
            <w:tcW w:w="1253" w:type="dxa"/>
          </w:tcPr>
          <w:p w:rsidR="00564981" w:rsidRPr="00804739" w:rsidRDefault="00564981" w:rsidP="00564981">
            <w:pPr>
              <w:pStyle w:val="aa"/>
              <w:spacing w:after="0"/>
              <w:jc w:val="center"/>
            </w:pPr>
            <w:r w:rsidRPr="00804739">
              <w:t>3</w:t>
            </w:r>
          </w:p>
        </w:tc>
        <w:tc>
          <w:tcPr>
            <w:tcW w:w="1304" w:type="dxa"/>
          </w:tcPr>
          <w:p w:rsidR="00564981" w:rsidRDefault="00564981" w:rsidP="00564981">
            <w:pPr>
              <w:pStyle w:val="aa"/>
              <w:spacing w:after="0"/>
              <w:jc w:val="center"/>
            </w:pPr>
            <w:r>
              <w:t>4</w:t>
            </w:r>
          </w:p>
        </w:tc>
        <w:tc>
          <w:tcPr>
            <w:tcW w:w="1372" w:type="dxa"/>
          </w:tcPr>
          <w:p w:rsidR="00564981" w:rsidRPr="00804739" w:rsidRDefault="00564981" w:rsidP="00564981">
            <w:pPr>
              <w:pStyle w:val="aa"/>
              <w:spacing w:after="0"/>
              <w:jc w:val="center"/>
            </w:pPr>
            <w:r>
              <w:t>5</w:t>
            </w:r>
          </w:p>
        </w:tc>
        <w:tc>
          <w:tcPr>
            <w:tcW w:w="1067" w:type="dxa"/>
          </w:tcPr>
          <w:p w:rsidR="00564981" w:rsidRPr="00804739" w:rsidRDefault="00564981" w:rsidP="00564981">
            <w:pPr>
              <w:pStyle w:val="aa"/>
              <w:spacing w:after="0"/>
              <w:jc w:val="center"/>
            </w:pPr>
            <w:r>
              <w:t>6</w:t>
            </w:r>
          </w:p>
        </w:tc>
        <w:tc>
          <w:tcPr>
            <w:tcW w:w="1211" w:type="dxa"/>
          </w:tcPr>
          <w:p w:rsidR="00564981" w:rsidRPr="00804739" w:rsidRDefault="00564981" w:rsidP="00564981">
            <w:pPr>
              <w:pStyle w:val="aa"/>
              <w:spacing w:after="0"/>
              <w:jc w:val="center"/>
            </w:pPr>
            <w:r>
              <w:t>7</w:t>
            </w:r>
          </w:p>
        </w:tc>
      </w:tr>
      <w:tr w:rsidR="00564981" w:rsidTr="00564981">
        <w:tc>
          <w:tcPr>
            <w:tcW w:w="540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 w:rsidRPr="00804739">
              <w:t>1.</w:t>
            </w:r>
          </w:p>
        </w:tc>
        <w:tc>
          <w:tcPr>
            <w:tcW w:w="2597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253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>
              <w:t>103385,1</w:t>
            </w:r>
          </w:p>
        </w:tc>
        <w:tc>
          <w:tcPr>
            <w:tcW w:w="1304" w:type="dxa"/>
          </w:tcPr>
          <w:p w:rsidR="00564981" w:rsidRDefault="00564981" w:rsidP="00564981">
            <w:pPr>
              <w:pStyle w:val="aa"/>
              <w:spacing w:after="0"/>
              <w:jc w:val="both"/>
            </w:pPr>
            <w:r>
              <w:t>103385,1</w:t>
            </w:r>
          </w:p>
        </w:tc>
        <w:tc>
          <w:tcPr>
            <w:tcW w:w="1372" w:type="dxa"/>
          </w:tcPr>
          <w:p w:rsidR="00564981" w:rsidRPr="00AC4D63" w:rsidRDefault="00564981" w:rsidP="00564981">
            <w:pPr>
              <w:pStyle w:val="aa"/>
              <w:spacing w:after="0"/>
              <w:jc w:val="both"/>
            </w:pPr>
            <w:r>
              <w:t>103859,9</w:t>
            </w:r>
          </w:p>
        </w:tc>
        <w:tc>
          <w:tcPr>
            <w:tcW w:w="1067" w:type="dxa"/>
          </w:tcPr>
          <w:p w:rsidR="00564981" w:rsidRPr="00804739" w:rsidRDefault="000016C0" w:rsidP="00564981">
            <w:pPr>
              <w:pStyle w:val="aa"/>
              <w:spacing w:after="0"/>
              <w:jc w:val="both"/>
            </w:pPr>
            <w:r>
              <w:t>474,8</w:t>
            </w:r>
          </w:p>
        </w:tc>
        <w:tc>
          <w:tcPr>
            <w:tcW w:w="1211" w:type="dxa"/>
          </w:tcPr>
          <w:p w:rsidR="00564981" w:rsidRPr="00804739" w:rsidRDefault="000016C0" w:rsidP="00564981">
            <w:pPr>
              <w:pStyle w:val="aa"/>
              <w:spacing w:after="0"/>
              <w:jc w:val="both"/>
            </w:pPr>
            <w:r>
              <w:t>0,5</w:t>
            </w:r>
          </w:p>
        </w:tc>
      </w:tr>
      <w:tr w:rsidR="00564981" w:rsidTr="00564981">
        <w:tc>
          <w:tcPr>
            <w:tcW w:w="540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 w:rsidRPr="00804739">
              <w:t>1.1</w:t>
            </w:r>
          </w:p>
        </w:tc>
        <w:tc>
          <w:tcPr>
            <w:tcW w:w="2597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253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>
              <w:t>102668,1</w:t>
            </w:r>
          </w:p>
        </w:tc>
        <w:tc>
          <w:tcPr>
            <w:tcW w:w="1304" w:type="dxa"/>
          </w:tcPr>
          <w:p w:rsidR="00564981" w:rsidRDefault="00564981" w:rsidP="00564981">
            <w:pPr>
              <w:pStyle w:val="aa"/>
              <w:spacing w:after="0"/>
              <w:jc w:val="both"/>
            </w:pPr>
            <w:r>
              <w:t>102678,1</w:t>
            </w:r>
          </w:p>
        </w:tc>
        <w:tc>
          <w:tcPr>
            <w:tcW w:w="1372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>
              <w:t>103152,9</w:t>
            </w:r>
          </w:p>
        </w:tc>
        <w:tc>
          <w:tcPr>
            <w:tcW w:w="1067" w:type="dxa"/>
          </w:tcPr>
          <w:p w:rsidR="00564981" w:rsidRPr="00804739" w:rsidRDefault="000016C0" w:rsidP="00564981">
            <w:pPr>
              <w:pStyle w:val="aa"/>
              <w:spacing w:after="0"/>
              <w:jc w:val="both"/>
            </w:pPr>
            <w:r>
              <w:t>474,8</w:t>
            </w:r>
          </w:p>
        </w:tc>
        <w:tc>
          <w:tcPr>
            <w:tcW w:w="1211" w:type="dxa"/>
          </w:tcPr>
          <w:p w:rsidR="00564981" w:rsidRPr="001E4603" w:rsidRDefault="000016C0" w:rsidP="00564981">
            <w:pPr>
              <w:pStyle w:val="aa"/>
              <w:spacing w:after="0"/>
              <w:jc w:val="both"/>
            </w:pPr>
            <w:r>
              <w:t>0,5</w:t>
            </w:r>
          </w:p>
        </w:tc>
      </w:tr>
      <w:tr w:rsidR="00564981" w:rsidTr="00564981">
        <w:tc>
          <w:tcPr>
            <w:tcW w:w="540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 w:rsidRPr="00804739">
              <w:t>1.2.</w:t>
            </w:r>
          </w:p>
        </w:tc>
        <w:tc>
          <w:tcPr>
            <w:tcW w:w="2597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253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>
              <w:t>707,0</w:t>
            </w:r>
          </w:p>
        </w:tc>
        <w:tc>
          <w:tcPr>
            <w:tcW w:w="1304" w:type="dxa"/>
          </w:tcPr>
          <w:p w:rsidR="00564981" w:rsidRDefault="00564981" w:rsidP="00564981">
            <w:pPr>
              <w:pStyle w:val="aa"/>
              <w:spacing w:after="0"/>
              <w:jc w:val="both"/>
            </w:pPr>
            <w:r>
              <w:t>707,0</w:t>
            </w:r>
          </w:p>
        </w:tc>
        <w:tc>
          <w:tcPr>
            <w:tcW w:w="1372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>
              <w:t>707,0</w:t>
            </w:r>
          </w:p>
        </w:tc>
        <w:tc>
          <w:tcPr>
            <w:tcW w:w="1067" w:type="dxa"/>
          </w:tcPr>
          <w:p w:rsidR="00564981" w:rsidRPr="00804739" w:rsidRDefault="000016C0" w:rsidP="00564981">
            <w:pPr>
              <w:pStyle w:val="aa"/>
              <w:spacing w:after="0"/>
              <w:jc w:val="both"/>
            </w:pPr>
            <w:r>
              <w:t>-</w:t>
            </w:r>
          </w:p>
        </w:tc>
        <w:tc>
          <w:tcPr>
            <w:tcW w:w="1211" w:type="dxa"/>
          </w:tcPr>
          <w:p w:rsidR="00564981" w:rsidRPr="00804739" w:rsidRDefault="000016C0" w:rsidP="00564981">
            <w:pPr>
              <w:pStyle w:val="aa"/>
              <w:spacing w:after="0"/>
              <w:jc w:val="both"/>
            </w:pPr>
            <w:r>
              <w:t>-</w:t>
            </w:r>
          </w:p>
        </w:tc>
      </w:tr>
      <w:tr w:rsidR="00564981" w:rsidTr="00564981">
        <w:tc>
          <w:tcPr>
            <w:tcW w:w="540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 w:rsidRPr="00804739">
              <w:t>2.</w:t>
            </w:r>
          </w:p>
        </w:tc>
        <w:tc>
          <w:tcPr>
            <w:tcW w:w="2597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253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>
              <w:t>107307,1</w:t>
            </w:r>
          </w:p>
        </w:tc>
        <w:tc>
          <w:tcPr>
            <w:tcW w:w="1304" w:type="dxa"/>
          </w:tcPr>
          <w:p w:rsidR="00564981" w:rsidRDefault="00564981" w:rsidP="00564981">
            <w:pPr>
              <w:pStyle w:val="aa"/>
              <w:spacing w:after="0"/>
              <w:jc w:val="both"/>
            </w:pPr>
            <w:r>
              <w:t>142100,8</w:t>
            </w:r>
          </w:p>
        </w:tc>
        <w:tc>
          <w:tcPr>
            <w:tcW w:w="1372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>
              <w:t>142575,6</w:t>
            </w:r>
          </w:p>
        </w:tc>
        <w:tc>
          <w:tcPr>
            <w:tcW w:w="1067" w:type="dxa"/>
          </w:tcPr>
          <w:p w:rsidR="00564981" w:rsidRPr="00804739" w:rsidRDefault="000016C0" w:rsidP="00564981">
            <w:pPr>
              <w:pStyle w:val="aa"/>
              <w:spacing w:after="0"/>
              <w:jc w:val="both"/>
            </w:pPr>
            <w:r>
              <w:t>474,8</w:t>
            </w:r>
          </w:p>
        </w:tc>
        <w:tc>
          <w:tcPr>
            <w:tcW w:w="1211" w:type="dxa"/>
          </w:tcPr>
          <w:p w:rsidR="00564981" w:rsidRPr="00804739" w:rsidRDefault="000016C0" w:rsidP="00564981">
            <w:pPr>
              <w:pStyle w:val="aa"/>
              <w:spacing w:after="0"/>
              <w:jc w:val="both"/>
            </w:pPr>
            <w:r>
              <w:t>0,3</w:t>
            </w:r>
          </w:p>
        </w:tc>
      </w:tr>
      <w:tr w:rsidR="00564981" w:rsidTr="00564981">
        <w:tc>
          <w:tcPr>
            <w:tcW w:w="540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 w:rsidRPr="00804739">
              <w:t>3.</w:t>
            </w:r>
          </w:p>
        </w:tc>
        <w:tc>
          <w:tcPr>
            <w:tcW w:w="2597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253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>
              <w:t>3922,0</w:t>
            </w:r>
          </w:p>
        </w:tc>
        <w:tc>
          <w:tcPr>
            <w:tcW w:w="1304" w:type="dxa"/>
          </w:tcPr>
          <w:p w:rsidR="00564981" w:rsidRDefault="00564981" w:rsidP="00564981">
            <w:pPr>
              <w:pStyle w:val="aa"/>
              <w:spacing w:after="0"/>
              <w:jc w:val="both"/>
            </w:pPr>
            <w:r>
              <w:t>38715,7</w:t>
            </w:r>
          </w:p>
        </w:tc>
        <w:tc>
          <w:tcPr>
            <w:tcW w:w="1372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>
              <w:t>38715,7</w:t>
            </w:r>
          </w:p>
        </w:tc>
        <w:tc>
          <w:tcPr>
            <w:tcW w:w="1067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>
              <w:t>Х</w:t>
            </w:r>
          </w:p>
        </w:tc>
        <w:tc>
          <w:tcPr>
            <w:tcW w:w="1211" w:type="dxa"/>
          </w:tcPr>
          <w:p w:rsidR="00564981" w:rsidRPr="00804739" w:rsidRDefault="00564981" w:rsidP="00564981">
            <w:pPr>
              <w:pStyle w:val="aa"/>
              <w:spacing w:after="0"/>
              <w:jc w:val="both"/>
            </w:pPr>
            <w:r>
              <w:t>Х</w:t>
            </w:r>
          </w:p>
        </w:tc>
      </w:tr>
    </w:tbl>
    <w:p w:rsidR="00C66CAD" w:rsidRDefault="00C66CAD" w:rsidP="00C66CAD">
      <w:pPr>
        <w:pStyle w:val="aa"/>
        <w:jc w:val="both"/>
        <w:rPr>
          <w:sz w:val="28"/>
          <w:szCs w:val="28"/>
        </w:rPr>
      </w:pPr>
    </w:p>
    <w:p w:rsidR="00146D91" w:rsidRDefault="00C66CAD" w:rsidP="003D147C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2068">
        <w:rPr>
          <w:sz w:val="28"/>
          <w:szCs w:val="28"/>
        </w:rPr>
        <w:t>1.</w:t>
      </w:r>
      <w:r>
        <w:rPr>
          <w:sz w:val="28"/>
          <w:szCs w:val="28"/>
        </w:rPr>
        <w:t xml:space="preserve">  И</w:t>
      </w:r>
      <w:r w:rsidR="00146D91">
        <w:rPr>
          <w:sz w:val="28"/>
          <w:szCs w:val="28"/>
        </w:rPr>
        <w:t>зменения стр</w:t>
      </w:r>
      <w:r>
        <w:rPr>
          <w:sz w:val="28"/>
          <w:szCs w:val="28"/>
        </w:rPr>
        <w:t xml:space="preserve">уктуры доходов </w:t>
      </w:r>
      <w:proofErr w:type="gramStart"/>
      <w:r>
        <w:rPr>
          <w:sz w:val="28"/>
          <w:szCs w:val="28"/>
        </w:rPr>
        <w:t>местного  бюджета</w:t>
      </w:r>
      <w:proofErr w:type="gramEnd"/>
      <w:r w:rsidR="00146D91">
        <w:rPr>
          <w:sz w:val="28"/>
          <w:szCs w:val="28"/>
        </w:rPr>
        <w:t xml:space="preserve"> на 202</w:t>
      </w:r>
      <w:r w:rsidR="00D5075F">
        <w:rPr>
          <w:sz w:val="28"/>
          <w:szCs w:val="28"/>
        </w:rPr>
        <w:t>3</w:t>
      </w:r>
      <w:r w:rsidR="00146D91">
        <w:rPr>
          <w:sz w:val="28"/>
          <w:szCs w:val="28"/>
        </w:rPr>
        <w:t xml:space="preserve"> год.</w:t>
      </w:r>
    </w:p>
    <w:p w:rsidR="002E22AE" w:rsidRDefault="00864A71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6CAD">
        <w:rPr>
          <w:sz w:val="28"/>
          <w:szCs w:val="28"/>
        </w:rPr>
        <w:t xml:space="preserve">Общий объем доходов местного бюджета прогнозируется с увеличением к утвержденным бюджетным назначениям на </w:t>
      </w:r>
      <w:r w:rsidR="00694D06">
        <w:rPr>
          <w:sz w:val="28"/>
          <w:szCs w:val="28"/>
        </w:rPr>
        <w:t>474,8</w:t>
      </w:r>
      <w:r w:rsidR="00C66CAD">
        <w:rPr>
          <w:sz w:val="28"/>
          <w:szCs w:val="28"/>
        </w:rPr>
        <w:t xml:space="preserve"> </w:t>
      </w:r>
      <w:proofErr w:type="spellStart"/>
      <w:proofErr w:type="gramStart"/>
      <w:r w:rsidR="00C66CAD">
        <w:rPr>
          <w:sz w:val="28"/>
          <w:szCs w:val="28"/>
        </w:rPr>
        <w:t>тыс.рублей</w:t>
      </w:r>
      <w:proofErr w:type="spellEnd"/>
      <w:proofErr w:type="gramEnd"/>
      <w:r w:rsidR="008D2890">
        <w:rPr>
          <w:sz w:val="28"/>
          <w:szCs w:val="28"/>
        </w:rPr>
        <w:t xml:space="preserve">, предлагается к утверждению в размере </w:t>
      </w:r>
      <w:r w:rsidR="00694D06">
        <w:rPr>
          <w:sz w:val="28"/>
          <w:szCs w:val="28"/>
        </w:rPr>
        <w:t>103859,9</w:t>
      </w:r>
      <w:r w:rsidR="008D2890">
        <w:rPr>
          <w:sz w:val="28"/>
          <w:szCs w:val="28"/>
        </w:rPr>
        <w:t xml:space="preserve"> </w:t>
      </w:r>
      <w:proofErr w:type="spellStart"/>
      <w:r w:rsidR="008D2890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, из них налоговые и неналоговые доходы местного бюджета предлагаются к утверждению в сумме </w:t>
      </w:r>
      <w:r w:rsidR="00694D06">
        <w:rPr>
          <w:sz w:val="28"/>
          <w:szCs w:val="28"/>
        </w:rPr>
        <w:t>103152,9</w:t>
      </w:r>
      <w:r w:rsidR="00C66CAD">
        <w:rPr>
          <w:sz w:val="28"/>
          <w:szCs w:val="28"/>
        </w:rPr>
        <w:t xml:space="preserve"> </w:t>
      </w:r>
      <w:proofErr w:type="spellStart"/>
      <w:r w:rsidR="00C66CAD">
        <w:rPr>
          <w:sz w:val="28"/>
          <w:szCs w:val="28"/>
        </w:rPr>
        <w:t>тыс.рублей</w:t>
      </w:r>
      <w:proofErr w:type="spellEnd"/>
      <w:r w:rsidR="00C66CAD">
        <w:rPr>
          <w:sz w:val="28"/>
          <w:szCs w:val="28"/>
        </w:rPr>
        <w:t xml:space="preserve">, безвозмездные поступления </w:t>
      </w:r>
      <w:r w:rsidR="00694D06">
        <w:rPr>
          <w:sz w:val="28"/>
          <w:szCs w:val="28"/>
        </w:rPr>
        <w:t>– 707,0</w:t>
      </w:r>
      <w:r w:rsidR="00F3750F">
        <w:rPr>
          <w:sz w:val="28"/>
          <w:szCs w:val="28"/>
        </w:rPr>
        <w:t xml:space="preserve"> </w:t>
      </w:r>
      <w:proofErr w:type="spellStart"/>
      <w:r w:rsidR="00F3750F">
        <w:rPr>
          <w:sz w:val="28"/>
          <w:szCs w:val="28"/>
        </w:rPr>
        <w:t>тыс.рублей</w:t>
      </w:r>
      <w:proofErr w:type="spellEnd"/>
      <w:r w:rsidR="00F3750F">
        <w:rPr>
          <w:sz w:val="28"/>
          <w:szCs w:val="28"/>
        </w:rPr>
        <w:t>.</w:t>
      </w:r>
    </w:p>
    <w:p w:rsidR="00A1333C" w:rsidRDefault="00A1333C" w:rsidP="00694D0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Изменения в объём налоговых и неналоговых доходов бюджета в 2023 году вносятся в связи:</w:t>
      </w:r>
    </w:p>
    <w:p w:rsidR="00694D06" w:rsidRDefault="00694D06" w:rsidP="00694D06">
      <w:pPr>
        <w:pStyle w:val="aa"/>
        <w:spacing w:after="0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уменьшением планового показателя по акцизам на 0,2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:rsidR="00694D06" w:rsidRDefault="00694D06" w:rsidP="00694D06">
      <w:pPr>
        <w:pStyle w:val="aa"/>
        <w:spacing w:after="0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увеличением планового показателя по доходам от оказания платных услуг и компенсации затрат государства в сумме 30,0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:rsidR="00A1333C" w:rsidRDefault="00A1333C" w:rsidP="00694D06">
      <w:pPr>
        <w:pStyle w:val="aa"/>
        <w:spacing w:after="0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увеличением </w:t>
      </w:r>
      <w:r w:rsidR="00694D06">
        <w:rPr>
          <w:sz w:val="28"/>
          <w:szCs w:val="28"/>
        </w:rPr>
        <w:t xml:space="preserve">планового показателя по штрафам, санкциям и возмещению ущерба в сумме 445,0 </w:t>
      </w:r>
      <w:proofErr w:type="spellStart"/>
      <w:proofErr w:type="gramStart"/>
      <w:r w:rsidR="00694D06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;</w:t>
      </w:r>
    </w:p>
    <w:p w:rsidR="00A1333C" w:rsidRPr="002E22AE" w:rsidRDefault="00A1333C" w:rsidP="00694D0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- увеличением доходов от поступления акцизов на 1,4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</w:t>
      </w:r>
    </w:p>
    <w:p w:rsidR="00962068" w:rsidRPr="00962068" w:rsidRDefault="00A1333C" w:rsidP="0000120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2890" w:rsidRPr="008D2890" w:rsidRDefault="008D2890" w:rsidP="003D147C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 Общий объем расходов местного бюджета на 202</w:t>
      </w:r>
      <w:r w:rsidR="00B27F69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 учетом увеличения на </w:t>
      </w:r>
      <w:r w:rsidR="00694D06">
        <w:rPr>
          <w:sz w:val="28"/>
          <w:szCs w:val="28"/>
        </w:rPr>
        <w:t>474,8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61582D">
        <w:rPr>
          <w:sz w:val="28"/>
          <w:szCs w:val="28"/>
        </w:rPr>
        <w:t xml:space="preserve"> </w:t>
      </w:r>
      <w:r w:rsidR="00710AFA">
        <w:rPr>
          <w:sz w:val="28"/>
          <w:szCs w:val="28"/>
        </w:rPr>
        <w:t>(</w:t>
      </w:r>
      <w:r w:rsidR="002C34C7">
        <w:rPr>
          <w:sz w:val="28"/>
          <w:szCs w:val="28"/>
        </w:rPr>
        <w:t>0,3</w:t>
      </w:r>
      <w:r w:rsidR="0061582D">
        <w:rPr>
          <w:sz w:val="28"/>
          <w:szCs w:val="28"/>
        </w:rPr>
        <w:t>%)</w:t>
      </w:r>
      <w:r>
        <w:rPr>
          <w:sz w:val="28"/>
          <w:szCs w:val="28"/>
        </w:rPr>
        <w:t xml:space="preserve">, предлагается к утверждению в размере </w:t>
      </w:r>
      <w:r w:rsidR="002C34C7">
        <w:rPr>
          <w:sz w:val="28"/>
          <w:szCs w:val="28"/>
        </w:rPr>
        <w:t xml:space="preserve">142575,6 </w:t>
      </w:r>
      <w:proofErr w:type="spellStart"/>
      <w:r w:rsidRPr="004D2705">
        <w:rPr>
          <w:sz w:val="28"/>
          <w:szCs w:val="28"/>
        </w:rPr>
        <w:t>тыс.рублей</w:t>
      </w:r>
      <w:proofErr w:type="spellEnd"/>
      <w:r w:rsidR="003D147C">
        <w:rPr>
          <w:sz w:val="28"/>
          <w:szCs w:val="28"/>
        </w:rPr>
        <w:t>:</w:t>
      </w:r>
    </w:p>
    <w:p w:rsidR="00B27F69" w:rsidRPr="00B27F69" w:rsidRDefault="00B27F69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01 </w:t>
      </w:r>
      <w:r w:rsidRPr="00B27F69">
        <w:rPr>
          <w:b/>
          <w:bCs/>
          <w:color w:val="000000"/>
          <w:sz w:val="28"/>
          <w:szCs w:val="28"/>
        </w:rPr>
        <w:t>«Общегосударственные расходы»</w:t>
      </w:r>
      <w:r>
        <w:rPr>
          <w:bCs/>
          <w:color w:val="000000"/>
          <w:sz w:val="28"/>
          <w:szCs w:val="28"/>
        </w:rPr>
        <w:t xml:space="preserve"> </w:t>
      </w:r>
    </w:p>
    <w:p w:rsidR="0041095C" w:rsidRDefault="004D69F6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4D69F6">
        <w:rPr>
          <w:bCs/>
          <w:color w:val="000000"/>
          <w:sz w:val="28"/>
          <w:szCs w:val="28"/>
        </w:rPr>
        <w:t>У</w:t>
      </w:r>
      <w:r w:rsidR="002C34C7">
        <w:rPr>
          <w:bCs/>
          <w:color w:val="000000"/>
          <w:sz w:val="28"/>
          <w:szCs w:val="28"/>
        </w:rPr>
        <w:t xml:space="preserve">величены расходы по подразделу 0104 (Функционирование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администраций) </w:t>
      </w:r>
      <w:r w:rsidRPr="004D69F6">
        <w:rPr>
          <w:bCs/>
          <w:color w:val="000000"/>
          <w:sz w:val="28"/>
          <w:szCs w:val="28"/>
        </w:rPr>
        <w:t xml:space="preserve">на </w:t>
      </w:r>
      <w:r w:rsidR="002C34C7">
        <w:rPr>
          <w:bCs/>
          <w:color w:val="000000"/>
          <w:sz w:val="28"/>
          <w:szCs w:val="28"/>
        </w:rPr>
        <w:t xml:space="preserve">29,9 </w:t>
      </w:r>
      <w:proofErr w:type="spellStart"/>
      <w:proofErr w:type="gramStart"/>
      <w:r w:rsidRPr="004D69F6">
        <w:rPr>
          <w:bCs/>
          <w:color w:val="000000"/>
          <w:sz w:val="28"/>
          <w:szCs w:val="28"/>
        </w:rPr>
        <w:t>тыс.рублей</w:t>
      </w:r>
      <w:proofErr w:type="spellEnd"/>
      <w:proofErr w:type="gramEnd"/>
      <w:r w:rsidR="002C34C7">
        <w:rPr>
          <w:bCs/>
          <w:color w:val="000000"/>
          <w:sz w:val="28"/>
          <w:szCs w:val="28"/>
        </w:rPr>
        <w:t xml:space="preserve"> (расходы на оплату ОСАГО рабочего автомобиля, оплату транспортного налога). </w:t>
      </w:r>
    </w:p>
    <w:p w:rsidR="002C34C7" w:rsidRPr="009E2D87" w:rsidRDefault="004D69F6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4D69F6">
        <w:rPr>
          <w:b/>
          <w:bCs/>
          <w:color w:val="000000"/>
          <w:sz w:val="28"/>
          <w:szCs w:val="28"/>
        </w:rPr>
        <w:t>Раздел 0</w:t>
      </w:r>
      <w:r w:rsidR="002C34C7">
        <w:rPr>
          <w:b/>
          <w:bCs/>
          <w:color w:val="000000"/>
          <w:sz w:val="28"/>
          <w:szCs w:val="28"/>
        </w:rPr>
        <w:t>5</w:t>
      </w:r>
      <w:r w:rsidRPr="004D69F6">
        <w:rPr>
          <w:b/>
          <w:bCs/>
          <w:color w:val="000000"/>
          <w:sz w:val="28"/>
          <w:szCs w:val="28"/>
        </w:rPr>
        <w:t xml:space="preserve"> «</w:t>
      </w:r>
      <w:r w:rsidR="002C34C7">
        <w:rPr>
          <w:b/>
          <w:bCs/>
          <w:color w:val="000000"/>
          <w:sz w:val="28"/>
          <w:szCs w:val="28"/>
        </w:rPr>
        <w:t>Жилищно-коммунальное хозяйство</w:t>
      </w:r>
      <w:r w:rsidRPr="004D69F6">
        <w:rPr>
          <w:b/>
          <w:bCs/>
          <w:color w:val="000000"/>
          <w:sz w:val="28"/>
          <w:szCs w:val="28"/>
        </w:rPr>
        <w:t>»</w:t>
      </w:r>
      <w:r w:rsidR="0041095C">
        <w:rPr>
          <w:b/>
          <w:bCs/>
          <w:color w:val="000000"/>
          <w:sz w:val="28"/>
          <w:szCs w:val="28"/>
        </w:rPr>
        <w:t>.</w:t>
      </w:r>
      <w:r w:rsidR="009E2D87">
        <w:rPr>
          <w:b/>
          <w:bCs/>
          <w:color w:val="000000"/>
          <w:sz w:val="28"/>
          <w:szCs w:val="28"/>
        </w:rPr>
        <w:t xml:space="preserve"> </w:t>
      </w:r>
      <w:r w:rsidR="009E2D87" w:rsidRPr="009E2D87">
        <w:rPr>
          <w:bCs/>
          <w:color w:val="000000"/>
          <w:sz w:val="28"/>
          <w:szCs w:val="28"/>
        </w:rPr>
        <w:t>В целом расходы по разделу увеличены на 14</w:t>
      </w:r>
      <w:r w:rsidR="009E2D87">
        <w:rPr>
          <w:bCs/>
          <w:color w:val="000000"/>
          <w:sz w:val="28"/>
          <w:szCs w:val="28"/>
        </w:rPr>
        <w:t>80,1</w:t>
      </w:r>
      <w:r w:rsidR="009E2D87" w:rsidRPr="009E2D87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9E2D87" w:rsidRPr="009E2D87">
        <w:rPr>
          <w:bCs/>
          <w:color w:val="000000"/>
          <w:sz w:val="28"/>
          <w:szCs w:val="28"/>
        </w:rPr>
        <w:t>тыс.рублей</w:t>
      </w:r>
      <w:proofErr w:type="spellEnd"/>
      <w:proofErr w:type="gramEnd"/>
      <w:r w:rsidR="009E2D87" w:rsidRPr="009E2D87">
        <w:rPr>
          <w:bCs/>
          <w:color w:val="000000"/>
          <w:sz w:val="28"/>
          <w:szCs w:val="28"/>
        </w:rPr>
        <w:t xml:space="preserve">. </w:t>
      </w:r>
    </w:p>
    <w:p w:rsidR="00B27F69" w:rsidRDefault="004D69F6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Pr="004D69F6">
        <w:rPr>
          <w:bCs/>
          <w:color w:val="000000"/>
          <w:sz w:val="28"/>
          <w:szCs w:val="28"/>
        </w:rPr>
        <w:t>величен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расход</w:t>
      </w:r>
      <w:r w:rsidR="0041095C"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</w:t>
      </w:r>
      <w:r w:rsidR="002C34C7">
        <w:rPr>
          <w:bCs/>
          <w:color w:val="000000"/>
          <w:sz w:val="28"/>
          <w:szCs w:val="28"/>
        </w:rPr>
        <w:t xml:space="preserve">по подразделу 0501 (Жилищное хозяйство) в сумме 15,5 </w:t>
      </w:r>
      <w:proofErr w:type="spellStart"/>
      <w:proofErr w:type="gramStart"/>
      <w:r w:rsidR="002C34C7">
        <w:rPr>
          <w:bCs/>
          <w:color w:val="000000"/>
          <w:sz w:val="28"/>
          <w:szCs w:val="28"/>
        </w:rPr>
        <w:t>тыс.рублей</w:t>
      </w:r>
      <w:proofErr w:type="spellEnd"/>
      <w:proofErr w:type="gramEnd"/>
      <w:r w:rsidR="002C34C7">
        <w:rPr>
          <w:bCs/>
          <w:color w:val="000000"/>
          <w:sz w:val="28"/>
          <w:szCs w:val="28"/>
        </w:rPr>
        <w:t xml:space="preserve"> (на исполнение обязательств по уплате взносов в Фонд капитального ремонта).</w:t>
      </w:r>
    </w:p>
    <w:p w:rsidR="009E2D87" w:rsidRDefault="009E2D87" w:rsidP="003D147C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Pr="004D69F6">
        <w:rPr>
          <w:bCs/>
          <w:color w:val="000000"/>
          <w:sz w:val="28"/>
          <w:szCs w:val="28"/>
        </w:rPr>
        <w:t>величен</w:t>
      </w:r>
      <w:r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расход</w:t>
      </w:r>
      <w:r>
        <w:rPr>
          <w:bCs/>
          <w:color w:val="000000"/>
          <w:sz w:val="28"/>
          <w:szCs w:val="28"/>
        </w:rPr>
        <w:t>ы</w:t>
      </w:r>
      <w:r w:rsidRPr="004D69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подразделу 0503 (Благоустройство) в сумме </w:t>
      </w:r>
      <w:proofErr w:type="gramStart"/>
      <w:r>
        <w:rPr>
          <w:bCs/>
          <w:color w:val="000000"/>
          <w:sz w:val="28"/>
          <w:szCs w:val="28"/>
        </w:rPr>
        <w:t>429,6тыс.рублей</w:t>
      </w:r>
      <w:proofErr w:type="gramEnd"/>
      <w:r>
        <w:rPr>
          <w:bCs/>
          <w:color w:val="000000"/>
          <w:sz w:val="28"/>
          <w:szCs w:val="28"/>
        </w:rPr>
        <w:t xml:space="preserve"> (на оплат</w:t>
      </w:r>
      <w:r w:rsidR="00C20FDF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 договора с АО </w:t>
      </w:r>
      <w:proofErr w:type="spellStart"/>
      <w:r>
        <w:rPr>
          <w:bCs/>
          <w:color w:val="000000"/>
          <w:sz w:val="28"/>
          <w:szCs w:val="28"/>
        </w:rPr>
        <w:t>Витимэнерго</w:t>
      </w:r>
      <w:proofErr w:type="spellEnd"/>
      <w:r>
        <w:rPr>
          <w:bCs/>
          <w:color w:val="000000"/>
          <w:sz w:val="28"/>
          <w:szCs w:val="28"/>
        </w:rPr>
        <w:t>).</w:t>
      </w:r>
    </w:p>
    <w:p w:rsidR="00D036C2" w:rsidRDefault="00D036C2" w:rsidP="003D147C">
      <w:pPr>
        <w:shd w:val="clear" w:color="auto" w:fill="FFFFFF"/>
        <w:jc w:val="both"/>
        <w:rPr>
          <w:sz w:val="28"/>
          <w:szCs w:val="28"/>
        </w:rPr>
      </w:pPr>
    </w:p>
    <w:p w:rsidR="00BB16AD" w:rsidRDefault="000C7F99" w:rsidP="00BB16AD">
      <w:pPr>
        <w:pStyle w:val="af5"/>
        <w:ind w:firstLine="567"/>
        <w:jc w:val="both"/>
        <w:rPr>
          <w:b w:val="0"/>
          <w:sz w:val="28"/>
          <w:szCs w:val="28"/>
        </w:rPr>
      </w:pPr>
      <w:r w:rsidRPr="003D147C">
        <w:rPr>
          <w:b w:val="0"/>
          <w:sz w:val="28"/>
          <w:szCs w:val="28"/>
          <w:lang w:val="ru-RU"/>
        </w:rPr>
        <w:t>4</w:t>
      </w:r>
      <w:r w:rsidR="005606FE" w:rsidRPr="003D147C">
        <w:rPr>
          <w:b w:val="0"/>
          <w:sz w:val="28"/>
          <w:szCs w:val="28"/>
          <w:lang w:val="ru-RU"/>
        </w:rPr>
        <w:t xml:space="preserve">. </w:t>
      </w:r>
      <w:proofErr w:type="gramStart"/>
      <w:r w:rsidR="00BB16AD" w:rsidRPr="003D147C">
        <w:rPr>
          <w:b w:val="0"/>
          <w:sz w:val="28"/>
          <w:szCs w:val="28"/>
        </w:rPr>
        <w:t>Дефицит</w:t>
      </w:r>
      <w:r w:rsidR="00BB16AD">
        <w:rPr>
          <w:sz w:val="28"/>
          <w:szCs w:val="28"/>
        </w:rPr>
        <w:t xml:space="preserve"> </w:t>
      </w:r>
      <w:r w:rsidR="00BB16AD" w:rsidRPr="005606FE">
        <w:rPr>
          <w:b w:val="0"/>
          <w:sz w:val="28"/>
          <w:szCs w:val="28"/>
        </w:rPr>
        <w:t>бюджета</w:t>
      </w:r>
      <w:proofErr w:type="gramEnd"/>
      <w:r w:rsidR="00BB16AD" w:rsidRPr="005606FE">
        <w:rPr>
          <w:b w:val="0"/>
          <w:sz w:val="28"/>
          <w:szCs w:val="28"/>
        </w:rPr>
        <w:t xml:space="preserve"> прогнозируе</w:t>
      </w:r>
      <w:r w:rsidR="001A41E3">
        <w:rPr>
          <w:b w:val="0"/>
          <w:sz w:val="28"/>
          <w:szCs w:val="28"/>
          <w:lang w:val="ru-RU"/>
        </w:rPr>
        <w:t xml:space="preserve">мый на 2023 год и плановый период 2024-2025 годов </w:t>
      </w:r>
      <w:r w:rsidR="00BB16AD" w:rsidRPr="00BB16AD">
        <w:rPr>
          <w:b w:val="0"/>
          <w:sz w:val="28"/>
          <w:szCs w:val="28"/>
        </w:rPr>
        <w:t>соответствует</w:t>
      </w:r>
      <w:r w:rsidR="00BB16AD" w:rsidRPr="00BB16AD">
        <w:rPr>
          <w:b w:val="0"/>
          <w:sz w:val="28"/>
          <w:szCs w:val="28"/>
          <w:lang w:val="ru-RU"/>
        </w:rPr>
        <w:t xml:space="preserve"> нормам, установленным </w:t>
      </w:r>
      <w:r w:rsidR="001A41E3">
        <w:rPr>
          <w:b w:val="0"/>
          <w:sz w:val="28"/>
          <w:szCs w:val="28"/>
          <w:lang w:val="ru-RU"/>
        </w:rPr>
        <w:t xml:space="preserve">пунктом 3 </w:t>
      </w:r>
      <w:r w:rsidR="00BB16AD" w:rsidRPr="00BB16AD">
        <w:rPr>
          <w:b w:val="0"/>
          <w:sz w:val="28"/>
          <w:szCs w:val="28"/>
          <w:lang w:val="ru-RU"/>
        </w:rPr>
        <w:t>ст. 92.1 БК РФ.</w:t>
      </w:r>
      <w:r w:rsidR="00BB16AD" w:rsidRPr="00BB16AD">
        <w:rPr>
          <w:b w:val="0"/>
          <w:sz w:val="28"/>
          <w:szCs w:val="28"/>
        </w:rPr>
        <w:t xml:space="preserve">  </w:t>
      </w:r>
    </w:p>
    <w:p w:rsidR="003748B9" w:rsidRPr="003748B9" w:rsidRDefault="003748B9" w:rsidP="003748B9">
      <w:pPr>
        <w:pStyle w:val="ad"/>
        <w:ind w:firstLine="567"/>
        <w:jc w:val="both"/>
        <w:rPr>
          <w:lang w:val="x-none" w:eastAsia="x-none"/>
        </w:rPr>
      </w:pPr>
      <w:r w:rsidRPr="003748B9">
        <w:rPr>
          <w:sz w:val="28"/>
          <w:szCs w:val="28"/>
          <w:lang w:eastAsia="x-none"/>
        </w:rPr>
        <w:t>Ревизионная комиссия</w:t>
      </w:r>
      <w:r>
        <w:rPr>
          <w:lang w:eastAsia="x-none"/>
        </w:rPr>
        <w:t xml:space="preserve"> </w:t>
      </w:r>
      <w:r w:rsidRPr="003748B9">
        <w:rPr>
          <w:sz w:val="28"/>
          <w:szCs w:val="28"/>
          <w:lang w:eastAsia="x-none"/>
        </w:rPr>
        <w:t>отмечает, что</w:t>
      </w:r>
      <w:r>
        <w:rPr>
          <w:lang w:eastAsia="x-none"/>
        </w:rPr>
        <w:t xml:space="preserve"> </w:t>
      </w:r>
      <w:r w:rsidRPr="003748B9">
        <w:rPr>
          <w:sz w:val="28"/>
          <w:szCs w:val="28"/>
          <w:lang w:eastAsia="x-none"/>
        </w:rPr>
        <w:t>текстовой части</w:t>
      </w:r>
      <w:r>
        <w:rPr>
          <w:lang w:eastAsia="x-none"/>
        </w:rPr>
        <w:t xml:space="preserve"> </w:t>
      </w:r>
      <w:r w:rsidRPr="003748B9">
        <w:rPr>
          <w:sz w:val="28"/>
          <w:szCs w:val="28"/>
          <w:lang w:eastAsia="x-none"/>
        </w:rPr>
        <w:t>проект</w:t>
      </w:r>
      <w:r>
        <w:rPr>
          <w:sz w:val="28"/>
          <w:szCs w:val="28"/>
          <w:lang w:eastAsia="x-none"/>
        </w:rPr>
        <w:t>а</w:t>
      </w:r>
      <w:r w:rsidRPr="003748B9">
        <w:rPr>
          <w:sz w:val="28"/>
          <w:szCs w:val="28"/>
          <w:lang w:eastAsia="x-none"/>
        </w:rPr>
        <w:t xml:space="preserve"> решения</w:t>
      </w:r>
      <w:r>
        <w:rPr>
          <w:lang w:eastAsia="x-none"/>
        </w:rPr>
        <w:t xml:space="preserve"> </w:t>
      </w:r>
      <w:r w:rsidRPr="003748B9">
        <w:rPr>
          <w:sz w:val="28"/>
          <w:szCs w:val="28"/>
          <w:lang w:eastAsia="x-none"/>
        </w:rPr>
        <w:t xml:space="preserve">Думы </w:t>
      </w:r>
      <w:r w:rsidRPr="00C20FDF">
        <w:rPr>
          <w:b/>
          <w:sz w:val="28"/>
          <w:szCs w:val="28"/>
          <w:lang w:eastAsia="x-none"/>
        </w:rPr>
        <w:t>не указан</w:t>
      </w:r>
      <w:r>
        <w:rPr>
          <w:sz w:val="28"/>
          <w:szCs w:val="28"/>
          <w:lang w:eastAsia="x-none"/>
        </w:rPr>
        <w:t xml:space="preserve"> показатель «дефицита бюджета» </w:t>
      </w:r>
      <w:proofErr w:type="gramStart"/>
      <w:r>
        <w:rPr>
          <w:sz w:val="28"/>
          <w:szCs w:val="28"/>
          <w:lang w:eastAsia="x-none"/>
        </w:rPr>
        <w:t>в процентом</w:t>
      </w:r>
      <w:proofErr w:type="gramEnd"/>
      <w:r>
        <w:rPr>
          <w:sz w:val="28"/>
          <w:szCs w:val="28"/>
          <w:lang w:eastAsia="x-none"/>
        </w:rPr>
        <w:t xml:space="preserve"> выражении.</w:t>
      </w:r>
      <w:r w:rsidRPr="003748B9">
        <w:rPr>
          <w:lang w:val="x-none" w:eastAsia="x-none"/>
        </w:rPr>
        <w:t xml:space="preserve">   </w:t>
      </w:r>
    </w:p>
    <w:p w:rsidR="00AB1FF1" w:rsidRDefault="00895BFF" w:rsidP="003D147C">
      <w:pPr>
        <w:pStyle w:val="ad"/>
        <w:jc w:val="both"/>
        <w:rPr>
          <w:lang w:val="x-none" w:eastAsia="x-none"/>
        </w:rPr>
      </w:pPr>
      <w:r>
        <w:rPr>
          <w:lang w:val="x-none" w:eastAsia="x-none"/>
        </w:rPr>
        <w:tab/>
      </w:r>
      <w:bookmarkStart w:id="0" w:name="_GoBack"/>
      <w:bookmarkEnd w:id="0"/>
    </w:p>
    <w:sectPr w:rsidR="00AB1FF1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FD" w:rsidRDefault="006462FD" w:rsidP="00BF19A6">
      <w:r>
        <w:separator/>
      </w:r>
    </w:p>
  </w:endnote>
  <w:endnote w:type="continuationSeparator" w:id="0">
    <w:p w:rsidR="006462FD" w:rsidRDefault="006462FD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FD" w:rsidRDefault="006462FD" w:rsidP="00BF19A6">
      <w:r>
        <w:separator/>
      </w:r>
    </w:p>
  </w:footnote>
  <w:footnote w:type="continuationSeparator" w:id="0">
    <w:p w:rsidR="006462FD" w:rsidRDefault="006462FD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3934E9"/>
    <w:multiLevelType w:val="hybridMultilevel"/>
    <w:tmpl w:val="251044E2"/>
    <w:lvl w:ilvl="0" w:tplc="18A84CCE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AA2294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0AF0C4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C43716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E8B23A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1A4C4A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D44730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C67C24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7E5926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1202"/>
    <w:rsid w:val="000016C0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3235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7E3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1E3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603"/>
    <w:rsid w:val="001E4A28"/>
    <w:rsid w:val="001E4F04"/>
    <w:rsid w:val="001E55B5"/>
    <w:rsid w:val="001E5A21"/>
    <w:rsid w:val="001E6D19"/>
    <w:rsid w:val="001E7B86"/>
    <w:rsid w:val="001F1F09"/>
    <w:rsid w:val="001F2163"/>
    <w:rsid w:val="001F3441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4C7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8B9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2C97"/>
    <w:rsid w:val="003D35DE"/>
    <w:rsid w:val="003D3C8A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95C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4894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B9A"/>
    <w:rsid w:val="004D39B2"/>
    <w:rsid w:val="004D519A"/>
    <w:rsid w:val="004D5D3D"/>
    <w:rsid w:val="004D64DF"/>
    <w:rsid w:val="004D69F6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7DF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981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2FD"/>
    <w:rsid w:val="00646C59"/>
    <w:rsid w:val="00652A2A"/>
    <w:rsid w:val="00655A8E"/>
    <w:rsid w:val="00656CE0"/>
    <w:rsid w:val="006572E8"/>
    <w:rsid w:val="006615F8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D06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5CA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7CD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2D9F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068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2D87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33C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2EB4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1FF1"/>
    <w:rsid w:val="00AB2C20"/>
    <w:rsid w:val="00AB3505"/>
    <w:rsid w:val="00AB46EF"/>
    <w:rsid w:val="00AB4D94"/>
    <w:rsid w:val="00AB6386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27F69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37C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43D5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2A7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2D4"/>
    <w:rsid w:val="00C16965"/>
    <w:rsid w:val="00C17F27"/>
    <w:rsid w:val="00C20FDF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CF6A14"/>
    <w:rsid w:val="00D000DA"/>
    <w:rsid w:val="00D006A1"/>
    <w:rsid w:val="00D00F12"/>
    <w:rsid w:val="00D0258D"/>
    <w:rsid w:val="00D02787"/>
    <w:rsid w:val="00D02919"/>
    <w:rsid w:val="00D036C2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75F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5DCC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568E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67BD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F8E1-5D13-4DA8-9087-BCCF327B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37</cp:revision>
  <cp:lastPrinted>2023-04-17T02:06:00Z</cp:lastPrinted>
  <dcterms:created xsi:type="dcterms:W3CDTF">2022-08-29T08:56:00Z</dcterms:created>
  <dcterms:modified xsi:type="dcterms:W3CDTF">2023-12-08T08:09:00Z</dcterms:modified>
</cp:coreProperties>
</file>